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Vendor &amp; Third-Party Management Policy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  <w:tc>
          <w:tcPr>
            <w:tcW w:type="dxa" w:w="4680"/>
            <w:shd w:fill="1F3B5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DRAFT — pending ratification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TODO: Security Lead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0.1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Effective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2026-06-29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Review cadence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Annual; inventory reviewed on any vendor change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Ensure third parties that process TruckFixr or customer data meet adequate security
and privacy standards.</w:t>
      </w:r>
    </w:p>
    <w:p>
      <w:pPr>
        <w:pStyle w:val="Heading2"/>
      </w:pPr>
      <w:r>
        <w:t xml:space="preserve">2. Inventory</w:t>
      </w:r>
    </w:p>
    <w:p>
      <w:pPr>
        <w:spacing w:after="120"/>
      </w:pPr>
      <w:r>
        <w:t xml:space="preserve">All sub-processors and key vendors are tracked in the
</w:t>
      </w:r>
      <w:hyperlink w:history="1" r:id="rIdjctylvbk7f0efcyfgxlqh">
        <w:r>
          <w:rPr>
            <w:rStyle w:val="Hyperlink"/>
          </w:rPr>
          <w:t xml:space="preserve">Vendor / Sub-processor Inventory</w:t>
        </w:r>
      </w:hyperlink>
      <w:r>
        <w:t xml:space="preserve">,
including what data they handle and their compliance posture.</w:t>
      </w:r>
    </w:p>
    <w:p>
      <w:pPr>
        <w:pStyle w:val="Heading2"/>
      </w:pPr>
      <w:r>
        <w:t xml:space="preserve">3. Onboarding a new vendor</w:t>
      </w:r>
    </w:p>
    <w:p>
      <w:pPr>
        <w:spacing w:after="120"/>
      </w:pPr>
      <w:r>
        <w:t xml:space="preserve">Before a vendor processes customer data, the Security Lead confirms:</w:t>
      </w:r>
    </w:p>
    <w:p>
      <w:pPr>
        <w:pStyle w:val="ListParagraph"/>
        <w:numPr>
          <w:ilvl w:val="0"/>
          <w:numId w:val="2"/>
        </w:numPr>
      </w:pPr>
      <w:r>
        <w:t xml:space="preserve">What data it will handle and why (minimize).</w:t>
      </w:r>
    </w:p>
    <w:p>
      <w:pPr>
        <w:pStyle w:val="ListParagraph"/>
        <w:numPr>
          <w:ilvl w:val="0"/>
          <w:numId w:val="2"/>
        </w:numPr>
      </w:pPr>
      <w:r>
        <w:t xml:space="preserve">The vendor's security posture (e.g. published SOC 2 / ISO report, DPA, encryption).</w:t>
      </w:r>
    </w:p>
    <w:p>
      <w:pPr>
        <w:pStyle w:val="ListParagraph"/>
        <w:numPr>
          <w:ilvl w:val="0"/>
          <w:numId w:val="2"/>
        </w:numPr>
      </w:pPr>
      <w:r>
        <w:t xml:space="preserve">Data location/residency and sub-processing.</w:t>
      </w:r>
    </w:p>
    <w:p>
      <w:pPr>
        <w:pStyle w:val="ListParagraph"/>
        <w:numPr>
          <w:ilvl w:val="0"/>
          <w:numId w:val="2"/>
        </w:numPr>
      </w:pPr>
      <w:r>
        <w:t xml:space="preserve">That it is added to the inventory and, if it processes personal data, reflected in
the customer-facing </w:t>
      </w:r>
      <w:hyperlink w:history="1" r:id="rIdekhkqdxhiide6f80a7obm">
        <w:r>
          <w:rPr>
            <w:rStyle w:val="Hyperlink"/>
          </w:rPr>
          <w:t xml:space="preserve">Privacy Policy</w:t>
        </w:r>
      </w:hyperlink>
      <w:r>
        <w:t xml:space="preserve">.</w:t>
      </w:r>
    </w:p>
    <w:p>
      <w:pPr>
        <w:pStyle w:val="Heading2"/>
      </w:pPr>
      <w:r>
        <w:t xml:space="preserve">4. Ongoing review</w:t>
      </w:r>
    </w:p>
    <w:p>
      <w:pPr>
        <w:pStyle w:val="ListParagraph"/>
        <w:numPr>
          <w:ilvl w:val="0"/>
          <w:numId w:val="2"/>
        </w:numPr>
      </w:pPr>
      <w:r>
        <w:t xml:space="preserve">Review the inventory at least annually and whenever a vendor materially changes.</w:t>
      </w:r>
    </w:p>
    <w:p>
      <w:pPr>
        <w:pStyle w:val="ListParagraph"/>
        <w:numPr>
          <w:ilvl w:val="0"/>
          <w:numId w:val="2"/>
        </w:numPr>
      </w:pPr>
      <w:r>
        <w:t xml:space="preserve">Track each vendor's compliance evidence (report/DPA) and its renewal date.</w:t>
      </w:r>
    </w:p>
    <w:p>
      <w:pPr>
        <w:pStyle w:val="Heading2"/>
      </w:pPr>
      <w:r>
        <w:t xml:space="preserve">5. Offboarding</w:t>
      </w:r>
    </w:p>
    <w:p>
      <w:pPr>
        <w:spacing w:after="120"/>
      </w:pPr>
      <w:r>
        <w:t xml:space="preserve">When a vendor is dropped, confirm data deletion/return per its terms and update the
inventory and Privacy Policy.</w:t>
      </w:r>
    </w:p>
    <w:p>
      <w:pPr>
        <w:pStyle w:val="Heading2"/>
      </w:pPr>
      <w:r>
        <w:t xml:space="preserve">6. Current critical sub-processors</w:t>
      </w:r>
    </w:p>
    <w:p>
      <w:pPr>
        <w:spacing w:after="120"/>
      </w:pPr>
      <w:r>
        <w:t xml:space="preserve">Supabase (database + storage), Render (hosting), Stripe (payments), the email
provider (Resend), and AI model providers (OpenRouter / OpenAI / Anthropic / Google
/ Groq). See the inventory for the authoritative list and data scope.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4D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ctylvbk7f0efcyfgxlqh" Type="http://schemas.openxmlformats.org/officeDocument/2006/relationships/hyperlink" Target="../registers/vendor-subprocessor-inventory.md" TargetMode="External"/><Relationship Id="rIdekhkqdxhiide6f80a7obm" Type="http://schemas.openxmlformats.org/officeDocument/2006/relationships/hyperlink" Target="../../../client/src/pages/Privacy.tsx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2026-06-30T00:08:57.053Z</dcterms:created>
  <dcterms:modified xsi:type="dcterms:W3CDTF">2026-06-30T00:08:57.053Z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