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Classification &amp; Handling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Classify the data TruckFixr handles so it gets the right level of protection.</w:t>
      </w:r>
    </w:p>
    <w:p>
      <w:pPr>
        <w:pStyle w:val="Heading2"/>
      </w:pPr>
      <w:r>
        <w:t xml:space="preserve">2. Classes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Handling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Restricted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Secrets/keys, </w:t>
            </w:r>
            <w:r>
              <w:rPr>
                <w:rFonts w:ascii="Consolas" w:cs="Consolas" w:eastAsia="Consolas" w:hAnsi="Consolas"/>
              </w:rPr>
              <w:t xml:space="preserve">JWT_SECRET</w:t>
            </w:r>
            <w:r>
              <w:t xml:space="preserve">, DB credentials, Stripe keys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Never in source/logs; in secret manager/env only; access strictly limited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Confidential (PII / customer data)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Driver name/email/phone, VIN, license plate, inspection photos, diagnostic inputs, lead PII, billing identifiers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Encrypted in transit; fleet-scoped access; redacted in logs; minimize copies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Internal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Source code, internal docs, metrics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Limited to personnel; GitHub access controls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Marketing site, public resources, this published policy intent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restriction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Handling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Confidential/Restricted data must not</w:t>
      </w:r>
      <w:r>
        <w:t xml:space="preserve"> be copied to personal devices, personal
cloud, ad-hoc spreadsheets, or pasted into unapproved third-party tools.</w:t>
      </w:r>
    </w:p>
    <w:p>
      <w:pPr>
        <w:pStyle w:val="ListParagraph"/>
        <w:numPr>
          <w:ilvl w:val="0"/>
          <w:numId w:val="2"/>
        </w:numPr>
      </w:pPr>
      <w:r>
        <w:t xml:space="preserve">Personal identifiers are </w:t>
      </w:r>
      <w:r>
        <w:rPr>
          <w:b/>
          <w:bCs/>
        </w:rPr>
        <w:t xml:space="preserve">redacted in operational logs</w:t>
      </w:r>
      <w:r>
        <w:t xml:space="preserve"> automatically by
</w:t>
      </w:r>
      <w:r>
        <w:rPr>
          <w:rFonts w:ascii="Consolas" w:cs="Consolas" w:eastAsia="Consolas" w:hAnsi="Consolas"/>
        </w:rPr>
        <w:t xml:space="preserve">server/services/observability.ts</w:t>
      </w:r>
      <w:r>
        <w:t xml:space="preserve"> (emails, VINs, phones, JWTs, secret keys,
inline image data).</w:t>
      </w:r>
    </w:p>
    <w:p>
      <w:pPr>
        <w:pStyle w:val="ListParagraph"/>
        <w:numPr>
          <w:ilvl w:val="0"/>
          <w:numId w:val="2"/>
        </w:numPr>
      </w:pPr>
      <w:r>
        <w:t xml:space="preserve">Customer data is </w:t>
      </w:r>
      <w:r>
        <w:rPr>
          <w:b/>
          <w:bCs/>
        </w:rPr>
        <w:t xml:space="preserve">fleet-isolated</w:t>
      </w:r>
      <w:r>
        <w:t xml:space="preserve"> (see </w:t>
      </w:r>
      <w:hyperlink w:history="1" r:id="rIdltfnw5wq5hy2_hbw0a_bl">
        <w:r>
          <w:rPr>
            <w:rStyle w:val="Hyperlink"/>
          </w:rPr>
          <w:t xml:space="preserve">Tenant Isolation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Inspection/evidence photos are treated as Confidential and stored in approved
object storage only.</w:t>
      </w:r>
    </w:p>
    <w:p>
      <w:pPr>
        <w:pStyle w:val="Heading2"/>
      </w:pPr>
      <w:r>
        <w:t xml:space="preserve">4. AI diagnosis data</w:t>
      </w:r>
    </w:p>
    <w:p>
      <w:pPr>
        <w:spacing w:after="120"/>
      </w:pPr>
      <w:r>
        <w:t xml:space="preserve">Diagnostic inputs sent to AI providers are limited to what is needed to produce a
result. Do not include unnecessary personal identifiers in prompts. AI providers are
tracked as sub-processors.</w:t>
      </w:r>
    </w:p>
    <w:p>
      <w:pPr>
        <w:pStyle w:val="Heading2"/>
      </w:pPr>
      <w:r>
        <w:t xml:space="preserve">5. Disposal</w:t>
      </w:r>
    </w:p>
    <w:p>
      <w:pPr>
        <w:spacing w:after="120"/>
      </w:pPr>
      <w:r>
        <w:t xml:space="preserve">See </w:t>
      </w:r>
      <w:hyperlink w:history="1" r:id="rId2jdpdyyyzxfltpi1vbfyp">
        <w:r>
          <w:rPr>
            <w:rStyle w:val="Hyperlink"/>
          </w:rPr>
          <w:t xml:space="preserve">Data Retention &amp; Disposal</w:t>
        </w:r>
      </w:hyperlink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tfnw5wq5hy2_hbw0a_bl" Type="http://schemas.openxmlformats.org/officeDocument/2006/relationships/hyperlink" Target="../tenant-isolation.md" TargetMode="External"/><Relationship Id="rId2jdpdyyyzxfltpi1vbfyp" Type="http://schemas.openxmlformats.org/officeDocument/2006/relationships/hyperlink" Target="09-data-retention-disposal-policy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2026-06-30T00:08:57.300Z</dcterms:created>
  <dcterms:modified xsi:type="dcterms:W3CDTF">2026-06-30T00:08:57.300Z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