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Logging &amp; Monitoring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Engineering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Ensure we can detect, investigate, and respond to security and availability events
(SOC 2 CC7) without leaking personal data.</w:t>
      </w:r>
    </w:p>
    <w:p>
      <w:pPr>
        <w:pStyle w:val="Heading2"/>
      </w:pPr>
      <w:r>
        <w:t xml:space="preserve">2. What we log</w:t>
      </w:r>
    </w:p>
    <w:p>
      <w:pPr>
        <w:pStyle w:val="ListParagraph"/>
        <w:numPr>
          <w:ilvl w:val="0"/>
          <w:numId w:val="2"/>
        </w:numPr>
      </w:pPr>
      <w:r>
        <w:t xml:space="preserve">Application/API errors, AI provider failures, database/Supabase errors, Stripe
webhook failures, slow routes, failed workflows, and forwarded browser runtime
errors — via </w:t>
      </w:r>
      <w:r>
        <w:rPr>
          <w:rFonts w:ascii="Consolas" w:cs="Consolas" w:eastAsia="Consolas" w:hAnsi="Consolas"/>
        </w:rPr>
        <w:t xml:space="preserve">server/services/observability.ts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Hosting/platform logs from Render; database logs from Supabase.</w:t>
      </w:r>
    </w:p>
    <w:p>
      <w:pPr>
        <w:pStyle w:val="Heading2"/>
      </w:pPr>
      <w:r>
        <w:t xml:space="preserve">3. Privacy in logs</w:t>
      </w:r>
    </w:p>
    <w:p>
      <w:pPr>
        <w:pStyle w:val="ListParagraph"/>
        <w:numPr>
          <w:ilvl w:val="0"/>
          <w:numId w:val="2"/>
        </w:numPr>
      </w:pPr>
      <w:r>
        <w:t xml:space="preserve">The observability layer </w:t>
      </w:r>
      <w:r>
        <w:rPr>
          <w:b/>
          <w:bCs/>
        </w:rPr>
        <w:t xml:space="preserve">redacts</w:t>
      </w:r>
      <w:r>
        <w:t xml:space="preserve"> emails, VINs, phone numbers, JWTs, secret/API
keys, bearer tokens, and inline base64 image data before anything is emitted.</w:t>
      </w:r>
    </w:p>
    <w:p>
      <w:pPr>
        <w:pStyle w:val="ListParagraph"/>
        <w:numPr>
          <w:ilvl w:val="0"/>
          <w:numId w:val="2"/>
        </w:numPr>
      </w:pPr>
      <w:r>
        <w:t xml:space="preserve">Recording an event never throws and never blocks the request path.</w:t>
      </w:r>
    </w:p>
    <w:p>
      <w:pPr>
        <w:pStyle w:val="Heading2"/>
      </w:pPr>
      <w:r>
        <w:t xml:space="preserve">4. Access &amp; retention</w:t>
      </w:r>
    </w:p>
    <w:p>
      <w:pPr>
        <w:pStyle w:val="ListParagraph"/>
        <w:numPr>
          <w:ilvl w:val="0"/>
          <w:numId w:val="2"/>
        </w:numPr>
      </w:pPr>
      <w:r>
        <w:t xml:space="preserve">Observability summaries are readable only via a </w:t>
      </w:r>
      <w:r>
        <w:rPr>
          <w:b/>
          <w:bCs/>
        </w:rPr>
        <w:t xml:space="preserve">staff-only</w:t>
      </w:r>
      <w:r>
        <w:t xml:space="preserve"> endpoint.</w:t>
      </w:r>
    </w:p>
    <w:p>
      <w:pPr>
        <w:pStyle w:val="ListParagraph"/>
        <w:numPr>
          <w:ilvl w:val="0"/>
          <w:numId w:val="2"/>
        </w:numPr>
      </w:pPr>
      <w:r>
        <w:t xml:space="preserve">The in-app buffer is bounded (ring buffer + counters) and resets on restart.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Planned/target:</w:t>
      </w:r>
      <w:r>
        <w:t xml:space="preserve"> forward critical events to a durable sink via
</w:t>
      </w:r>
      <w:r>
        <w:rPr>
          <w:rFonts w:ascii="Consolas" w:cs="Consolas" w:eastAsia="Consolas" w:hAnsi="Consolas"/>
        </w:rPr>
        <w:t xml:space="preserve">OBSERVABILITY_WEBHOOK_URL</w:t>
      </w:r>
      <w:r>
        <w:t xml:space="preserve"> and define a retention period for security-relevant logs.</w:t>
      </w:r>
    </w:p>
    <w:p>
      <w:pPr>
        <w:pStyle w:val="Heading2"/>
      </w:pPr>
      <w:r>
        <w:t xml:space="preserve">5. Monitoring &amp; alerting</w:t>
      </w:r>
    </w:p>
    <w:p>
      <w:pPr>
        <w:pStyle w:val="ListParagraph"/>
        <w:numPr>
          <w:ilvl w:val="0"/>
          <w:numId w:val="2"/>
        </w:numPr>
      </w:pPr>
      <w:r>
        <w:t xml:space="preserve">Health endpoint </w:t>
      </w:r>
      <w:r>
        <w:rPr>
          <w:rFonts w:ascii="Consolas" w:cs="Consolas" w:eastAsia="Consolas" w:hAnsi="Consolas"/>
        </w:rPr>
        <w:t xml:space="preserve">GET /healthz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Planned/target:</w:t>
      </w:r>
      <w:r>
        <w:t xml:space="preserve"> external uptime monitor on </w:t>
      </w:r>
      <w:r>
        <w:rPr>
          <w:rFonts w:ascii="Consolas" w:cs="Consolas" w:eastAsia="Consolas" w:hAnsi="Consolas"/>
        </w:rPr>
        <w:t xml:space="preserve">/healthz</w:t>
      </w:r>
      <w:r>
        <w:t xml:space="preserve"> with alerting; route
CI secret-scan and critical observability events to a person.</w:t>
      </w:r>
    </w:p>
    <w:p>
      <w:pPr>
        <w:pStyle w:val="Heading2"/>
      </w:pPr>
      <w:r>
        <w:t xml:space="preserve">6. Review</w:t>
      </w:r>
    </w:p>
    <w:p>
      <w:pPr>
        <w:spacing w:after="120"/>
      </w:pPr>
      <w:r>
        <w:t xml:space="preserve">Reviewed annually; alert thresholds tuned as traffic grows.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2026-06-30T00:08:57.444Z</dcterms:created>
  <dcterms:modified xsi:type="dcterms:W3CDTF">2026-06-30T00:08:57.444Z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