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C753" w14:textId="77777777" w:rsidR="00FF2BBE" w:rsidRDefault="00000000" w:rsidP="00D96C0B">
      <w:pPr>
        <w:pStyle w:val="Heading1"/>
        <w:jc w:val="center"/>
      </w:pPr>
      <w:r>
        <w:t>Privacy &amp; PIPEDA Policy (Internal)</w:t>
      </w:r>
    </w:p>
    <w:tbl>
      <w:tblPr>
        <w:tblW w:w="9360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F2BBE" w14:paraId="744AF9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B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4D8AA8" w14:textId="77777777" w:rsidR="00FF2BBE" w:rsidRDefault="00FF2BBE"/>
        </w:tc>
        <w:tc>
          <w:tcPr>
            <w:tcW w:w="4680" w:type="dxa"/>
            <w:shd w:val="clear" w:color="auto" w:fill="1F3B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CF7CC" w14:textId="77777777" w:rsidR="00FF2BBE" w:rsidRDefault="00FF2BBE"/>
        </w:tc>
      </w:tr>
      <w:tr w:rsidR="00FF2BBE" w14:paraId="7B231A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4E5893" w14:textId="77777777" w:rsidR="00FF2BBE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A90B4C" w14:textId="77777777" w:rsidR="00FF2BBE" w:rsidRDefault="00000000">
            <w:r>
              <w:t>DRAFT — pending counsel review</w:t>
            </w:r>
          </w:p>
        </w:tc>
      </w:tr>
      <w:tr w:rsidR="00FF2BBE" w14:paraId="3659A6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CB1364" w14:textId="77777777" w:rsidR="00FF2BBE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B39B4C" w14:textId="77777777" w:rsidR="00FF2BBE" w:rsidRDefault="00000000">
            <w:r>
              <w:t>TODO: Privacy Lead (may be Security Lead)</w:t>
            </w:r>
          </w:p>
        </w:tc>
      </w:tr>
      <w:tr w:rsidR="00FF2BBE" w14:paraId="0811C9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EDC0F" w14:textId="77777777" w:rsidR="00FF2BBE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CE9CA" w14:textId="77777777" w:rsidR="00FF2BBE" w:rsidRDefault="00000000">
            <w:r>
              <w:t>0.1</w:t>
            </w:r>
          </w:p>
        </w:tc>
      </w:tr>
      <w:tr w:rsidR="00FF2BBE" w14:paraId="19E1A5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59881A" w14:textId="77777777" w:rsidR="00FF2BBE" w:rsidRDefault="00000000">
            <w:r>
              <w:rPr>
                <w:b/>
                <w:bCs/>
              </w:rPr>
              <w:t>Effective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C72BA1" w14:textId="77777777" w:rsidR="00FF2BBE" w:rsidRDefault="00000000">
            <w:r>
              <w:t>TODO</w:t>
            </w:r>
          </w:p>
        </w:tc>
      </w:tr>
      <w:tr w:rsidR="00FF2BBE" w14:paraId="07CA8B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9E47DA" w14:textId="77777777" w:rsidR="00FF2BBE" w:rsidRDefault="00000000">
            <w:r>
              <w:rPr>
                <w:b/>
                <w:bCs/>
              </w:rPr>
              <w:t>Last reviewed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3733C9" w14:textId="77777777" w:rsidR="00FF2BBE" w:rsidRDefault="00000000">
            <w:r>
              <w:t>2026-06-29</w:t>
            </w:r>
          </w:p>
        </w:tc>
      </w:tr>
      <w:tr w:rsidR="00FF2BBE" w14:paraId="548864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5E23A1" w14:textId="77777777" w:rsidR="00FF2BBE" w:rsidRDefault="00000000">
            <w:r>
              <w:rPr>
                <w:b/>
                <w:bCs/>
              </w:rPr>
              <w:t>Review cadence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89838C" w14:textId="77777777" w:rsidR="00FF2BBE" w:rsidRDefault="00000000">
            <w:r>
              <w:t>Annual</w:t>
            </w:r>
          </w:p>
        </w:tc>
      </w:tr>
    </w:tbl>
    <w:p w14:paraId="34A7CD85" w14:textId="77777777" w:rsidR="00FF2BBE" w:rsidRDefault="00000000">
      <w:pPr>
        <w:pStyle w:val="Heading2"/>
      </w:pPr>
      <w:r>
        <w:t>1. Purpose</w:t>
      </w:r>
    </w:p>
    <w:p w14:paraId="248444D4" w14:textId="77777777" w:rsidR="00FF2BBE" w:rsidRDefault="00000000">
      <w:pPr>
        <w:spacing w:after="120"/>
      </w:pPr>
      <w:r>
        <w:t xml:space="preserve">Define how TruckFixr meets its privacy obligations under Canada's </w:t>
      </w:r>
      <w:r>
        <w:rPr>
          <w:b/>
          <w:bCs/>
        </w:rPr>
        <w:t>PIPEDA</w:t>
      </w:r>
      <w:r>
        <w:t xml:space="preserve"> (and applicable provincial law). This is the </w:t>
      </w:r>
      <w:r>
        <w:rPr>
          <w:b/>
          <w:bCs/>
        </w:rPr>
        <w:t>internal</w:t>
      </w:r>
      <w:r>
        <w:t xml:space="preserve"> counterpart to the customer-facing </w:t>
      </w:r>
      <w:hyperlink r:id="rId5" w:history="1">
        <w:r>
          <w:rPr>
            <w:rStyle w:val="Hyperlink"/>
          </w:rPr>
          <w:t>Privacy Policy</w:t>
        </w:r>
      </w:hyperlink>
      <w:r>
        <w:t>.</w:t>
      </w:r>
    </w:p>
    <w:p w14:paraId="015146DF" w14:textId="77777777" w:rsidR="00FF2BBE" w:rsidRDefault="00000000">
      <w:pPr>
        <w:pStyle w:val="Heading2"/>
      </w:pPr>
      <w:r>
        <w:t>2. PIPEDA principles → how we apply them</w:t>
      </w:r>
    </w:p>
    <w:p w14:paraId="261881ED" w14:textId="77777777" w:rsidR="00FF2BB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Accountability</w:t>
      </w:r>
      <w:r>
        <w:t xml:space="preserve"> — the Privacy Lead owns privacy; vendors handling PII are under contract and tracked in the </w:t>
      </w:r>
      <w:hyperlink r:id="rId6" w:history="1">
        <w:r>
          <w:rPr>
            <w:rStyle w:val="Hyperlink"/>
          </w:rPr>
          <w:t>Vendor Inventory</w:t>
        </w:r>
      </w:hyperlink>
      <w:r>
        <w:t>.</w:t>
      </w:r>
    </w:p>
    <w:p w14:paraId="153D1B52" w14:textId="77777777" w:rsidR="00FF2BB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Identifying purposes</w:t>
      </w:r>
      <w:r>
        <w:t xml:space="preserve"> — purposes are stated in the customer Privacy Policy.</w:t>
      </w:r>
    </w:p>
    <w:p w14:paraId="644DDCEF" w14:textId="77777777" w:rsidR="00FF2BB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Consent</w:t>
      </w:r>
      <w:r>
        <w:t xml:space="preserve"> — collected at sign-up and lead capture; consent can be withdrawn.</w:t>
      </w:r>
    </w:p>
    <w:p w14:paraId="1A21B19A" w14:textId="77777777" w:rsidR="00FF2BB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Limiting collection</w:t>
      </w:r>
      <w:r>
        <w:t xml:space="preserve"> — collect only what the service needs (account, fleet, inspection, diagnostic, billing data).</w:t>
      </w:r>
    </w:p>
    <w:p w14:paraId="19A72AFA" w14:textId="77777777" w:rsidR="00FF2BB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Limiting use, disclosure, retention</w:t>
      </w:r>
      <w:r>
        <w:t xml:space="preserve"> — use only for stated purposes; retain per the </w:t>
      </w:r>
      <w:hyperlink r:id="rId7" w:history="1">
        <w:r>
          <w:rPr>
            <w:rStyle w:val="Hyperlink"/>
          </w:rPr>
          <w:t>Data Retention Policy</w:t>
        </w:r>
      </w:hyperlink>
      <w:r>
        <w:t>; no sale of PII.</w:t>
      </w:r>
    </w:p>
    <w:p w14:paraId="3D287DFB" w14:textId="77777777" w:rsidR="00FF2BB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Accuracy</w:t>
      </w:r>
      <w:r>
        <w:t xml:space="preserve"> — users/fleets can correct their data.</w:t>
      </w:r>
    </w:p>
    <w:p w14:paraId="5575D2C2" w14:textId="77777777" w:rsidR="00FF2BB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Safeguards</w:t>
      </w:r>
      <w:r>
        <w:t xml:space="preserve"> — encryption in transit, RBAC, fleet isolation, log redaction (see </w:t>
      </w:r>
      <w:hyperlink r:id="rId8" w:history="1">
        <w:r>
          <w:rPr>
            <w:rStyle w:val="Hyperlink"/>
          </w:rPr>
          <w:t>Data Classification</w:t>
        </w:r>
      </w:hyperlink>
      <w:r>
        <w:t xml:space="preserve"> and </w:t>
      </w:r>
      <w:hyperlink r:id="rId9" w:history="1">
        <w:r>
          <w:rPr>
            <w:rStyle w:val="Hyperlink"/>
          </w:rPr>
          <w:t>Cryptography</w:t>
        </w:r>
      </w:hyperlink>
      <w:r>
        <w:t>).</w:t>
      </w:r>
    </w:p>
    <w:p w14:paraId="24234EBF" w14:textId="77777777" w:rsidR="00FF2BB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Openness</w:t>
      </w:r>
      <w:r>
        <w:t xml:space="preserve"> — the Privacy Policy is published.</w:t>
      </w:r>
    </w:p>
    <w:p w14:paraId="7990A8EF" w14:textId="77777777" w:rsidR="00FF2BB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Individual access</w:t>
      </w:r>
      <w:r>
        <w:t xml:space="preserve"> — individuals may request access to their data.</w:t>
      </w:r>
    </w:p>
    <w:p w14:paraId="3DADD7D4" w14:textId="77777777" w:rsidR="00FF2BB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Challenging compliance</w:t>
      </w:r>
      <w:r>
        <w:t xml:space="preserve"> — </w:t>
      </w:r>
      <w:hyperlink r:id="rId10" w:history="1">
        <w:r>
          <w:rPr>
            <w:rStyle w:val="Hyperlink"/>
          </w:rPr>
          <w:t>privacy@truckfixr.com</w:t>
        </w:r>
      </w:hyperlink>
      <w:r>
        <w:t xml:space="preserve"> receives concerns and requests.</w:t>
      </w:r>
    </w:p>
    <w:p w14:paraId="513DB55C" w14:textId="77777777" w:rsidR="00FF2BBE" w:rsidRDefault="00000000">
      <w:pPr>
        <w:pStyle w:val="Heading2"/>
      </w:pPr>
      <w:r>
        <w:t>3. Personal data we handle</w:t>
      </w:r>
    </w:p>
    <w:p w14:paraId="47635FFD" w14:textId="77777777" w:rsidR="00FF2BBE" w:rsidRDefault="00000000">
      <w:pPr>
        <w:spacing w:after="120"/>
      </w:pPr>
      <w:r>
        <w:t>Driver name/email/phone, VIN/plate, inspection photos and records, diagnostic inputs, lead PII, and billing identifiers. See the Data Classification policy for handling.</w:t>
      </w:r>
    </w:p>
    <w:p w14:paraId="4A665762" w14:textId="77777777" w:rsidR="00FF2BBE" w:rsidRDefault="00000000">
      <w:pPr>
        <w:pStyle w:val="Heading2"/>
      </w:pPr>
      <w:r>
        <w:t>4. Data subject / deletion requests</w:t>
      </w:r>
    </w:p>
    <w:p w14:paraId="533328B6" w14:textId="77777777" w:rsidR="00FF2BBE" w:rsidRDefault="00000000">
      <w:pPr>
        <w:spacing w:after="120"/>
      </w:pPr>
      <w:r>
        <w:t xml:space="preserve">Handled per the </w:t>
      </w:r>
      <w:hyperlink r:id="rId11" w:history="1">
        <w:r>
          <w:rPr>
            <w:rStyle w:val="Hyperlink"/>
          </w:rPr>
          <w:t>Data Retention &amp; Disposal Policy</w:t>
        </w:r>
      </w:hyperlink>
      <w:r>
        <w:t>. Record each request and its resolution.</w:t>
      </w:r>
    </w:p>
    <w:p w14:paraId="6CADAD59" w14:textId="77777777" w:rsidR="00FF2BBE" w:rsidRDefault="00000000">
      <w:pPr>
        <w:pStyle w:val="Heading2"/>
      </w:pPr>
      <w:r>
        <w:t>5. Breach handling</w:t>
      </w:r>
    </w:p>
    <w:p w14:paraId="5DE02A5D" w14:textId="77777777" w:rsidR="00FF2BBE" w:rsidRDefault="00000000">
      <w:pPr>
        <w:spacing w:after="120"/>
      </w:pPr>
      <w:r>
        <w:t xml:space="preserve">Privacy breaches follow the </w:t>
      </w:r>
      <w:hyperlink r:id="rId12" w:history="1">
        <w:r>
          <w:rPr>
            <w:rStyle w:val="Hyperlink"/>
          </w:rPr>
          <w:t>Incident Response Plan</w:t>
        </w:r>
      </w:hyperlink>
      <w:r>
        <w:t xml:space="preserve">, including PIPEDA breach-notification assessment (notify the Office of the Privacy Commissioner and affected individuals where there is a real risk of significant harm). </w:t>
      </w:r>
      <w:r>
        <w:rPr>
          <w:b/>
          <w:bCs/>
        </w:rPr>
        <w:t>Planned/target:</w:t>
      </w:r>
      <w:r>
        <w:t xml:space="preserve"> finalize notification timelines and templates with counsel.</w:t>
      </w:r>
    </w:p>
    <w:p w14:paraId="7BC61583" w14:textId="77777777" w:rsidR="00FF2BBE" w:rsidRDefault="00000000">
      <w:pPr>
        <w:pStyle w:val="Heading2"/>
      </w:pPr>
      <w:r>
        <w:t>6. Review</w:t>
      </w:r>
    </w:p>
    <w:p w14:paraId="793439B9" w14:textId="77777777" w:rsidR="00FF2BBE" w:rsidRDefault="00000000">
      <w:pPr>
        <w:spacing w:after="120"/>
      </w:pPr>
      <w:r>
        <w:t xml:space="preserve">Reviewed annually and whenever data practices change. </w:t>
      </w:r>
      <w:r>
        <w:rPr>
          <w:b/>
          <w:bCs/>
        </w:rPr>
        <w:t>Must be reviewed by legal counsel before being treated as final.</w:t>
      </w:r>
    </w:p>
    <w:sectPr w:rsidR="00FF2BBE" w:rsidSect="00D96C0B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957"/>
    <w:multiLevelType w:val="hybridMultilevel"/>
    <w:tmpl w:val="010ED738"/>
    <w:lvl w:ilvl="0" w:tplc="128CE042">
      <w:start w:val="1"/>
      <w:numFmt w:val="decimal"/>
      <w:lvlText w:val="%1."/>
      <w:lvlJc w:val="left"/>
      <w:pPr>
        <w:ind w:left="720" w:hanging="360"/>
      </w:pPr>
    </w:lvl>
    <w:lvl w:ilvl="1" w:tplc="EDBCE3AE">
      <w:start w:val="1"/>
      <w:numFmt w:val="decimal"/>
      <w:lvlText w:val="%2."/>
      <w:lvlJc w:val="left"/>
      <w:pPr>
        <w:ind w:left="1080" w:hanging="360"/>
      </w:pPr>
    </w:lvl>
    <w:lvl w:ilvl="2" w:tplc="33F221BA">
      <w:start w:val="1"/>
      <w:numFmt w:val="decimal"/>
      <w:lvlText w:val="%3."/>
      <w:lvlJc w:val="left"/>
      <w:pPr>
        <w:ind w:left="1440" w:hanging="360"/>
      </w:pPr>
    </w:lvl>
    <w:lvl w:ilvl="3" w:tplc="594A0452">
      <w:numFmt w:val="decimal"/>
      <w:lvlText w:val=""/>
      <w:lvlJc w:val="left"/>
    </w:lvl>
    <w:lvl w:ilvl="4" w:tplc="2DBC04F0">
      <w:numFmt w:val="decimal"/>
      <w:lvlText w:val=""/>
      <w:lvlJc w:val="left"/>
    </w:lvl>
    <w:lvl w:ilvl="5" w:tplc="A636FF4A">
      <w:numFmt w:val="decimal"/>
      <w:lvlText w:val=""/>
      <w:lvlJc w:val="left"/>
    </w:lvl>
    <w:lvl w:ilvl="6" w:tplc="75EA285A">
      <w:numFmt w:val="decimal"/>
      <w:lvlText w:val=""/>
      <w:lvlJc w:val="left"/>
    </w:lvl>
    <w:lvl w:ilvl="7" w:tplc="7AE87D0C">
      <w:numFmt w:val="decimal"/>
      <w:lvlText w:val=""/>
      <w:lvlJc w:val="left"/>
    </w:lvl>
    <w:lvl w:ilvl="8" w:tplc="9B72EBB8">
      <w:numFmt w:val="decimal"/>
      <w:lvlText w:val=""/>
      <w:lvlJc w:val="left"/>
    </w:lvl>
  </w:abstractNum>
  <w:abstractNum w:abstractNumId="1" w15:restartNumberingAfterBreak="0">
    <w:nsid w:val="32477C61"/>
    <w:multiLevelType w:val="hybridMultilevel"/>
    <w:tmpl w:val="C8DE7464"/>
    <w:lvl w:ilvl="0" w:tplc="83B8A848">
      <w:start w:val="1"/>
      <w:numFmt w:val="bullet"/>
      <w:lvlText w:val="•"/>
      <w:lvlJc w:val="left"/>
      <w:pPr>
        <w:ind w:left="720" w:hanging="360"/>
      </w:pPr>
    </w:lvl>
    <w:lvl w:ilvl="1" w:tplc="562E8852">
      <w:start w:val="1"/>
      <w:numFmt w:val="bullet"/>
      <w:lvlText w:val="◦"/>
      <w:lvlJc w:val="left"/>
      <w:pPr>
        <w:ind w:left="1080" w:hanging="360"/>
      </w:pPr>
    </w:lvl>
    <w:lvl w:ilvl="2" w:tplc="2878FD66">
      <w:start w:val="1"/>
      <w:numFmt w:val="bullet"/>
      <w:lvlText w:val="▪"/>
      <w:lvlJc w:val="left"/>
      <w:pPr>
        <w:ind w:left="1440" w:hanging="360"/>
      </w:pPr>
    </w:lvl>
    <w:lvl w:ilvl="3" w:tplc="BF6AE8E2">
      <w:numFmt w:val="decimal"/>
      <w:lvlText w:val=""/>
      <w:lvlJc w:val="left"/>
    </w:lvl>
    <w:lvl w:ilvl="4" w:tplc="C6AC6EA0">
      <w:numFmt w:val="decimal"/>
      <w:lvlText w:val=""/>
      <w:lvlJc w:val="left"/>
    </w:lvl>
    <w:lvl w:ilvl="5" w:tplc="91EEBEE6">
      <w:numFmt w:val="decimal"/>
      <w:lvlText w:val=""/>
      <w:lvlJc w:val="left"/>
    </w:lvl>
    <w:lvl w:ilvl="6" w:tplc="04B60D4C">
      <w:numFmt w:val="decimal"/>
      <w:lvlText w:val=""/>
      <w:lvlJc w:val="left"/>
    </w:lvl>
    <w:lvl w:ilvl="7" w:tplc="83364D9A">
      <w:numFmt w:val="decimal"/>
      <w:lvlText w:val=""/>
      <w:lvlJc w:val="left"/>
    </w:lvl>
    <w:lvl w:ilvl="8" w:tplc="8EF0314C">
      <w:numFmt w:val="decimal"/>
      <w:lvlText w:val=""/>
      <w:lvlJc w:val="left"/>
    </w:lvl>
  </w:abstractNum>
  <w:abstractNum w:abstractNumId="2" w15:restartNumberingAfterBreak="0">
    <w:nsid w:val="72487E03"/>
    <w:multiLevelType w:val="hybridMultilevel"/>
    <w:tmpl w:val="6FBE3C4A"/>
    <w:lvl w:ilvl="0" w:tplc="6AD60256">
      <w:start w:val="1"/>
      <w:numFmt w:val="bullet"/>
      <w:lvlText w:val="●"/>
      <w:lvlJc w:val="left"/>
      <w:pPr>
        <w:ind w:left="720" w:hanging="360"/>
      </w:pPr>
    </w:lvl>
    <w:lvl w:ilvl="1" w:tplc="0A20C6E2">
      <w:start w:val="1"/>
      <w:numFmt w:val="bullet"/>
      <w:lvlText w:val="○"/>
      <w:lvlJc w:val="left"/>
      <w:pPr>
        <w:ind w:left="1440" w:hanging="360"/>
      </w:pPr>
    </w:lvl>
    <w:lvl w:ilvl="2" w:tplc="76A4D298">
      <w:start w:val="1"/>
      <w:numFmt w:val="bullet"/>
      <w:lvlText w:val="■"/>
      <w:lvlJc w:val="left"/>
      <w:pPr>
        <w:ind w:left="2160" w:hanging="360"/>
      </w:pPr>
    </w:lvl>
    <w:lvl w:ilvl="3" w:tplc="C784AF98">
      <w:start w:val="1"/>
      <w:numFmt w:val="bullet"/>
      <w:lvlText w:val="●"/>
      <w:lvlJc w:val="left"/>
      <w:pPr>
        <w:ind w:left="2880" w:hanging="360"/>
      </w:pPr>
    </w:lvl>
    <w:lvl w:ilvl="4" w:tplc="091250C6">
      <w:start w:val="1"/>
      <w:numFmt w:val="bullet"/>
      <w:lvlText w:val="○"/>
      <w:lvlJc w:val="left"/>
      <w:pPr>
        <w:ind w:left="3600" w:hanging="360"/>
      </w:pPr>
    </w:lvl>
    <w:lvl w:ilvl="5" w:tplc="28CC7CB2">
      <w:start w:val="1"/>
      <w:numFmt w:val="bullet"/>
      <w:lvlText w:val="■"/>
      <w:lvlJc w:val="left"/>
      <w:pPr>
        <w:ind w:left="4320" w:hanging="360"/>
      </w:pPr>
    </w:lvl>
    <w:lvl w:ilvl="6" w:tplc="3C3E8A32">
      <w:start w:val="1"/>
      <w:numFmt w:val="bullet"/>
      <w:lvlText w:val="●"/>
      <w:lvlJc w:val="left"/>
      <w:pPr>
        <w:ind w:left="5040" w:hanging="360"/>
      </w:pPr>
    </w:lvl>
    <w:lvl w:ilvl="7" w:tplc="1BDC4810">
      <w:start w:val="1"/>
      <w:numFmt w:val="bullet"/>
      <w:lvlText w:val="●"/>
      <w:lvlJc w:val="left"/>
      <w:pPr>
        <w:ind w:left="5760" w:hanging="360"/>
      </w:pPr>
    </w:lvl>
    <w:lvl w:ilvl="8" w:tplc="07B27982">
      <w:start w:val="1"/>
      <w:numFmt w:val="bullet"/>
      <w:lvlText w:val="●"/>
      <w:lvlJc w:val="left"/>
      <w:pPr>
        <w:ind w:left="6480" w:hanging="360"/>
      </w:pPr>
    </w:lvl>
  </w:abstractNum>
  <w:num w:numId="1" w16cid:durableId="1278179751">
    <w:abstractNumId w:val="2"/>
    <w:lvlOverride w:ilvl="0">
      <w:startOverride w:val="1"/>
    </w:lvlOverride>
  </w:num>
  <w:num w:numId="2" w16cid:durableId="289557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BBE"/>
    <w:rsid w:val="008A5688"/>
    <w:rsid w:val="00D96C0B"/>
    <w:rsid w:val="00FF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C214"/>
  <w15:docId w15:val="{C57CBF4F-531C-4F56-8092-EF041531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B57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F3B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E4D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40" w:after="80"/>
      <w:outlineLvl w:val="3"/>
    </w:pPr>
    <w:rPr>
      <w:b/>
      <w:bCs/>
      <w:sz w:val="22"/>
      <w:szCs w:val="2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08-data-classification-policy.m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09-data-retention-disposal-policy.md" TargetMode="External"/><Relationship Id="rId12" Type="http://schemas.openxmlformats.org/officeDocument/2006/relationships/hyperlink" Target="05-incident-response-plan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registers/vendor-subprocessor-inventory.md" TargetMode="External"/><Relationship Id="rId11" Type="http://schemas.openxmlformats.org/officeDocument/2006/relationships/hyperlink" Target="09-data-retention-disposal-policy.md" TargetMode="External"/><Relationship Id="rId5" Type="http://schemas.openxmlformats.org/officeDocument/2006/relationships/hyperlink" Target="../../../client/src/pages/Privacy.tsx" TargetMode="External"/><Relationship Id="rId10" Type="http://schemas.openxmlformats.org/officeDocument/2006/relationships/hyperlink" Target="mailto:privacy@truckfix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10-cryptography-policy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Dickson Kwesiga</cp:lastModifiedBy>
  <cp:revision>3</cp:revision>
  <dcterms:created xsi:type="dcterms:W3CDTF">2026-06-30T00:08:00Z</dcterms:created>
  <dcterms:modified xsi:type="dcterms:W3CDTF">2026-06-30T00:29:00Z</dcterms:modified>
</cp:coreProperties>
</file>