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TruckFixr Security &amp; Compliance Policy Pack</w:t>
      </w:r>
    </w:p>
    <w:p>
      <w:pPr>
        <w:spacing w:after="120"/>
      </w:pPr>
      <w:r>
        <w:rPr>
          <w:b/>
          <w:bCs/>
        </w:rPr>
        <w:t xml:space="preserve">Status: DRAFT.</w:t>
      </w:r>
      <w:r>
        <w:t xml:space="preserve"> These are lean, early-stage policies grounded in TruckFixr's
actual stack and controls. They are intentionally short and free of enterprise
boilerplate. Each must be </w:t>
      </w:r>
      <w:r>
        <w:rPr>
          <w:b/>
          <w:bCs/>
        </w:rPr>
        <w:t xml:space="preserve">reviewed and ratified</w:t>
      </w:r>
      <w:r>
        <w:t xml:space="preserve"> (owner sign-off + effective
date) before it is treated as an in-force control, and several reference controls
marked </w:t>
      </w:r>
      <w:r>
        <w:rPr>
          <w:b/>
          <w:bCs/>
        </w:rPr>
        <w:t xml:space="preserve">Planned/target</w:t>
      </w:r>
      <w:r>
        <w:t xml:space="preserve"> that are not yet implemented.</w:t>
      </w: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i/>
          <w:iCs/>
          <w:color w:val="444444"/>
        </w:rPr>
        <w:t xml:space="preserve">TruckFixr is </w:t>
      </w:r>
      <w:r>
        <w:rPr>
          <w:b/>
          <w:bCs/>
          <w:i/>
          <w:iCs/>
          <w:color w:val="444444"/>
        </w:rPr>
        <w:t xml:space="preserve">not</w:t>
      </w:r>
      <w:r>
        <w:rPr>
          <w:i/>
          <w:iCs/>
          <w:color w:val="444444"/>
        </w:rPr>
        <w:t xml:space="preserve"> SOC 2 compliant, SOC 2 certified, ISO 27001 certified, or
HIPAA compliant. SOC 2 readiness is in progress, aligning with the </w:t>
      </w:r>
      <w:r>
        <w:rPr>
          <w:b/>
          <w:bCs/>
          <w:i/>
          <w:iCs/>
          <w:color w:val="444444"/>
        </w:rPr>
        <w:t xml:space="preserve">Security,
Availability, and Confidentiality</w:t>
      </w:r>
      <w:r>
        <w:rPr>
          <w:i/>
          <w:iCs/>
          <w:color w:val="444444"/>
        </w:rPr>
        <w:t xml:space="preserve"> trust services criteria.</w:t>
      </w: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i/>
          <w:iCs/>
          <w:color w:val="444444"/>
        </w:rPr>
        <w:t xml:space="preserve">If StrongDM Comply (or similar) is used, it is a </w:t>
      </w:r>
      <w:r>
        <w:rPr>
          <w:b/>
          <w:bCs/>
          <w:i/>
          <w:iCs/>
          <w:color w:val="444444"/>
        </w:rPr>
        <w:t xml:space="preserve">documentation accelerator
only — it does not prove TruckFixr is SOC 2 compliant or certified.</w:t>
      </w:r>
    </w:p>
    <w:p>
      <w:pPr>
        <w:pStyle w:val="Heading2"/>
      </w:pPr>
      <w:r>
        <w:t xml:space="preserve">How to use this pack</w:t>
      </w:r>
    </w:p>
    <w:p>
      <w:pPr>
        <w:pStyle w:val="ListParagraph"/>
        <w:numPr>
          <w:ilvl w:val="0"/>
          <w:numId w:val="2"/>
        </w:numPr>
      </w:pPr>
      <w:r>
        <w:t xml:space="preserve">Assign each policy an </w:t>
      </w:r>
      <w:r>
        <w:rPr>
          <w:b/>
          <w:bCs/>
        </w:rPr>
        <w:t xml:space="preserve">Owner</w:t>
      </w:r>
      <w:r>
        <w:t xml:space="preserve"> (replace </w:t>
      </w:r>
      <w:r>
        <w:rPr>
          <w:rFonts w:ascii="Consolas" w:cs="Consolas" w:eastAsia="Consolas" w:hAnsi="Consolas"/>
        </w:rPr>
        <w:t xml:space="preserve">TODO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Fill effective dates and any </w:t>
      </w:r>
      <w:r>
        <w:rPr>
          <w:rFonts w:ascii="Consolas" w:cs="Consolas" w:eastAsia="Consolas" w:hAnsi="Consolas"/>
        </w:rPr>
        <w:t xml:space="preserve">TODO</w:t>
      </w:r>
      <w:r>
        <w:t xml:space="preserve">/</w:t>
      </w:r>
      <w:r>
        <w:rPr>
          <w:rFonts w:ascii="Consolas" w:cs="Consolas" w:eastAsia="Consolas" w:hAnsi="Consolas"/>
        </w:rPr>
        <w:t xml:space="preserve">Planned</w:t>
      </w:r>
      <w:r>
        <w:t xml:space="preserve"> items, or move them to the
</w:t>
      </w:r>
      <w:r>
        <w:rPr>
          <w:rFonts w:ascii="Consolas" w:cs="Consolas" w:eastAsia="Consolas" w:hAnsi="Consolas"/>
        </w:rPr>
        <w:t xml:space="preserve">reports/soc2-readiness-*.md</w:t>
      </w:r>
      <w:r>
        <w:t xml:space="preserve"> backlog.</w:t>
      </w:r>
    </w:p>
    <w:p>
      <w:pPr>
        <w:pStyle w:val="ListParagraph"/>
        <w:numPr>
          <w:ilvl w:val="0"/>
          <w:numId w:val="2"/>
        </w:numPr>
      </w:pPr>
      <w:r>
        <w:t xml:space="preserve">Ratify (owner sign-off). Re-review at the cadence stated in each document, or
on material change.</w:t>
      </w:r>
    </w:p>
    <w:p>
      <w:pPr>
        <w:pStyle w:val="Heading2"/>
      </w:pPr>
      <w:r>
        <w:t xml:space="preserve">Contents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Policy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Primary SOC 2 criteria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00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bdx6xvwouvx2ypmqsywvp">
              <w:r>
                <w:rPr>
                  <w:rStyle w:val="Hyperlink"/>
                </w:rPr>
                <w:t xml:space="preserve">Information Security Policy</w:t>
              </w:r>
            </w:hyperlink>
            <w:r>
              <w:t xml:space="preserve"> (master)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CC1–CC9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01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bl8nm8v1h4ndsifx-isjk">
              <w:r>
                <w:rPr>
                  <w:rStyle w:val="Hyperlink"/>
                </w:rPr>
                <w:t xml:space="preserve">Access Control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CC6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fmunm7bzki0zrzeharjti">
              <w:r>
                <w:rPr>
                  <w:rStyle w:val="Hyperlink"/>
                </w:rPr>
                <w:t xml:space="preserve">Acceptable Use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CC1, CC6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03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aqe0cuzfjcttkgn9tv9cj">
              <w:r>
                <w:rPr>
                  <w:rStyle w:val="Hyperlink"/>
                </w:rPr>
                <w:t xml:space="preserve">Risk Management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CC3, CC4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04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ep0linwnlpahs91i9ub55">
              <w:r>
                <w:rPr>
                  <w:rStyle w:val="Hyperlink"/>
                </w:rPr>
                <w:t xml:space="preserve">Vendor &amp; Third-Party Management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CC9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05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sioqmbyawbjotda4zecbp">
              <w:r>
                <w:rPr>
                  <w:rStyle w:val="Hyperlink"/>
                </w:rPr>
                <w:t xml:space="preserve">Incident Response Plan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CC7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06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58mfc2hsybczaxtd6orgk">
              <w:r>
                <w:rPr>
                  <w:rStyle w:val="Hyperlink"/>
                </w:rPr>
                <w:t xml:space="preserve">Business Continuity &amp; Disaster Recovery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A1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07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86bmivrcyuqw6vpgmgmf2">
              <w:r>
                <w:rPr>
                  <w:rStyle w:val="Hyperlink"/>
                </w:rPr>
                <w:t xml:space="preserve">Change Management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CC8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08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j4f9kdxlepc2xp8l99ibc">
              <w:r>
                <w:rPr>
                  <w:rStyle w:val="Hyperlink"/>
                </w:rPr>
                <w:t xml:space="preserve">Data Classification &amp; Handling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C1, CC6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09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nmaxt5pq3f-9bebs9efcv">
              <w:r>
                <w:rPr>
                  <w:rStyle w:val="Hyperlink"/>
                </w:rPr>
                <w:t xml:space="preserve">Data Retention &amp; Disposal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C1, P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qrzirppwx0jyuvbglik8d">
              <w:r>
                <w:rPr>
                  <w:rStyle w:val="Hyperlink"/>
                </w:rPr>
                <w:t xml:space="preserve">Cryptography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CC6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11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hd7j47nbyvg66zhhgpjqv">
              <w:r>
                <w:rPr>
                  <w:rStyle w:val="Hyperlink"/>
                </w:rPr>
                <w:t xml:space="preserve">Logging &amp; Monitoring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CC7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wqlqzbetsw7x_2zoep1e5">
              <w:r>
                <w:rPr>
                  <w:rStyle w:val="Hyperlink"/>
                </w:rPr>
                <w:t xml:space="preserve">Secure Development Policy (SDLC)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CC8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tvxnfidrqmmihy1grw2jp">
              <w:r>
                <w:rPr>
                  <w:rStyle w:val="Hyperlink"/>
                </w:rPr>
                <w:t xml:space="preserve">Personnel Security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CC1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14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pkdg5q2rb4zskn9stohl1">
              <w:r>
                <w:rPr>
                  <w:rStyle w:val="Hyperlink"/>
                </w:rPr>
                <w:t xml:space="preserve">Vulnerability Management Policy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CC7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io2ictu1adiz1cxhbbvrh">
              <w:r>
                <w:rPr>
                  <w:rStyle w:val="Hyperlink"/>
                </w:rPr>
                <w:t xml:space="preserve">Privacy &amp; PIPEDA Policy (internal)</w:t>
              </w:r>
            </w:hyperlink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Related operational documents</w:t>
      </w:r>
    </w:p>
    <w:p>
      <w:pPr>
        <w:pStyle w:val="ListParagraph"/>
        <w:numPr>
          <w:ilvl w:val="0"/>
          <w:numId w:val="3"/>
        </w:numPr>
      </w:pPr>
      <w:hyperlink w:history="1" r:id="rId8vp6bq2bmtmnvsa89qcw0">
        <w:r>
          <w:rPr>
            <w:rStyle w:val="Hyperlink"/>
          </w:rPr>
          <w:t xml:space="preserve">System Description</w:t>
        </w:r>
      </w:hyperlink>
      <w:r>
        <w:t xml:space="preserve"> — SOC 2 scope and architecture</w:t>
      </w:r>
    </w:p>
    <w:p>
      <w:pPr>
        <w:pStyle w:val="ListParagraph"/>
        <w:numPr>
          <w:ilvl w:val="0"/>
          <w:numId w:val="3"/>
        </w:numPr>
      </w:pPr>
      <w:hyperlink w:history="1" r:id="rIdenebvjejawhoq7mz9hqzq">
        <w:r>
          <w:rPr>
            <w:rStyle w:val="Hyperlink"/>
          </w:rPr>
          <w:t xml:space="preserve">Tenant Isolation Control Statement</w:t>
        </w:r>
      </w:hyperlink>
    </w:p>
    <w:p>
      <w:pPr>
        <w:pStyle w:val="ListParagraph"/>
        <w:numPr>
          <w:ilvl w:val="0"/>
          <w:numId w:val="3"/>
        </w:numPr>
      </w:pPr>
      <w:hyperlink w:history="1" r:id="rIdu-n4soggigkwoy3q7o5vn">
        <w:r>
          <w:rPr>
            <w:rStyle w:val="Hyperlink"/>
          </w:rPr>
          <w:t xml:space="preserve">Backups &amp; Monitoring Runbook</w:t>
        </w:r>
      </w:hyperlink>
    </w:p>
    <w:p>
      <w:pPr>
        <w:pStyle w:val="ListParagraph"/>
        <w:numPr>
          <w:ilvl w:val="0"/>
          <w:numId w:val="3"/>
        </w:numPr>
      </w:pPr>
      <w:hyperlink w:history="1" r:id="rIda1kbwr31iyrs8bonohkyy">
        <w:r>
          <w:rPr>
            <w:rStyle w:val="Hyperlink"/>
          </w:rPr>
          <w:t xml:space="preserve">RLS Isolation Evidence Cadence</w:t>
        </w:r>
      </w:hyperlink>
    </w:p>
    <w:p>
      <w:pPr>
        <w:pStyle w:val="Heading2"/>
      </w:pPr>
      <w:r>
        <w:t xml:space="preserve">Registers (evidence)</w:t>
      </w:r>
    </w:p>
    <w:p>
      <w:pPr>
        <w:pStyle w:val="ListParagraph"/>
        <w:numPr>
          <w:ilvl w:val="0"/>
          <w:numId w:val="3"/>
        </w:numPr>
      </w:pPr>
      <w:hyperlink w:history="1" r:id="rIdp3wag7izdmlturjolsrwx">
        <w:r>
          <w:rPr>
            <w:rStyle w:val="Hyperlink"/>
          </w:rPr>
          <w:t xml:space="preserve">Vendor / Sub-processor Inventory</w:t>
        </w:r>
      </w:hyperlink>
    </w:p>
    <w:p>
      <w:pPr>
        <w:pStyle w:val="ListParagraph"/>
        <w:numPr>
          <w:ilvl w:val="0"/>
          <w:numId w:val="3"/>
        </w:numPr>
      </w:pPr>
      <w:hyperlink w:history="1" r:id="rId6rvvo2ot2lkxy2q0yh0ao">
        <w:r>
          <w:rPr>
            <w:rStyle w:val="Hyperlink"/>
          </w:rPr>
          <w:t xml:space="preserve">Risk Register</w:t>
        </w:r>
      </w:hyperlink>
    </w:p>
    <w:p>
      <w:pPr>
        <w:pStyle w:val="ListParagraph"/>
        <w:numPr>
          <w:ilvl w:val="0"/>
          <w:numId w:val="3"/>
        </w:numPr>
      </w:pPr>
      <w:hyperlink w:history="1" r:id="rId25tqlvrrbypftmvcwwga-">
        <w:r>
          <w:rPr>
            <w:rStyle w:val="Hyperlink"/>
          </w:rPr>
          <w:t xml:space="preserve">Asset Inventory</w:t>
        </w:r>
      </w:hyperlink>
    </w:p>
    <w:p>
      <w:pPr>
        <w:pStyle w:val="ListParagraph"/>
        <w:numPr>
          <w:ilvl w:val="0"/>
          <w:numId w:val="3"/>
        </w:numPr>
      </w:pPr>
      <w:hyperlink w:history="1" r:id="rIdaqpdx2ccg9x9r-8uduylr">
        <w:r>
          <w:rPr>
            <w:rStyle w:val="Hyperlink"/>
          </w:rPr>
          <w:t xml:space="preserve">Access Review Log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dx6xvwouvx2ypmqsywvp" Type="http://schemas.openxmlformats.org/officeDocument/2006/relationships/hyperlink" Target="00-information-security-policy.md" TargetMode="External"/><Relationship Id="rIdbl8nm8v1h4ndsifx-isjk" Type="http://schemas.openxmlformats.org/officeDocument/2006/relationships/hyperlink" Target="01-access-control-policy.md" TargetMode="External"/><Relationship Id="rIdfmunm7bzki0zrzeharjti" Type="http://schemas.openxmlformats.org/officeDocument/2006/relationships/hyperlink" Target="02-acceptable-use-policy.md" TargetMode="External"/><Relationship Id="rIdaqe0cuzfjcttkgn9tv9cj" Type="http://schemas.openxmlformats.org/officeDocument/2006/relationships/hyperlink" Target="03-risk-management-policy.md" TargetMode="External"/><Relationship Id="rIdep0linwnlpahs91i9ub55" Type="http://schemas.openxmlformats.org/officeDocument/2006/relationships/hyperlink" Target="04-vendor-management-policy.md" TargetMode="External"/><Relationship Id="rIdsioqmbyawbjotda4zecbp" Type="http://schemas.openxmlformats.org/officeDocument/2006/relationships/hyperlink" Target="05-incident-response-plan.md" TargetMode="External"/><Relationship Id="rId58mfc2hsybczaxtd6orgk" Type="http://schemas.openxmlformats.org/officeDocument/2006/relationships/hyperlink" Target="06-business-continuity-dr-policy.md" TargetMode="External"/><Relationship Id="rId86bmivrcyuqw6vpgmgmf2" Type="http://schemas.openxmlformats.org/officeDocument/2006/relationships/hyperlink" Target="07-change-management-policy.md" TargetMode="External"/><Relationship Id="rIdj4f9kdxlepc2xp8l99ibc" Type="http://schemas.openxmlformats.org/officeDocument/2006/relationships/hyperlink" Target="08-data-classification-policy.md" TargetMode="External"/><Relationship Id="rIdnmaxt5pq3f-9bebs9efcv" Type="http://schemas.openxmlformats.org/officeDocument/2006/relationships/hyperlink" Target="09-data-retention-disposal-policy.md" TargetMode="External"/><Relationship Id="rIdqrzirppwx0jyuvbglik8d" Type="http://schemas.openxmlformats.org/officeDocument/2006/relationships/hyperlink" Target="10-cryptography-policy.md" TargetMode="External"/><Relationship Id="rIdhd7j47nbyvg66zhhgpjqv" Type="http://schemas.openxmlformats.org/officeDocument/2006/relationships/hyperlink" Target="11-logging-monitoring-policy.md" TargetMode="External"/><Relationship Id="rIdwqlqzbetsw7x_2zoep1e5" Type="http://schemas.openxmlformats.org/officeDocument/2006/relationships/hyperlink" Target="12-secure-development-policy.md" TargetMode="External"/><Relationship Id="rIdtvxnfidrqmmihy1grw2jp" Type="http://schemas.openxmlformats.org/officeDocument/2006/relationships/hyperlink" Target="13-personnel-security-policy.md" TargetMode="External"/><Relationship Id="rIdpkdg5q2rb4zskn9stohl1" Type="http://schemas.openxmlformats.org/officeDocument/2006/relationships/hyperlink" Target="14-vulnerability-management-policy.md" TargetMode="External"/><Relationship Id="rIdio2ictu1adiz1cxhbbvrh" Type="http://schemas.openxmlformats.org/officeDocument/2006/relationships/hyperlink" Target="15-privacy-pipeda-policy.md" TargetMode="External"/><Relationship Id="rId8vp6bq2bmtmnvsa89qcw0" Type="http://schemas.openxmlformats.org/officeDocument/2006/relationships/hyperlink" Target="../system-description.md" TargetMode="External"/><Relationship Id="rIdenebvjejawhoq7mz9hqzq" Type="http://schemas.openxmlformats.org/officeDocument/2006/relationships/hyperlink" Target="../tenant-isolation.md" TargetMode="External"/><Relationship Id="rIdu-n4soggigkwoy3q7o5vn" Type="http://schemas.openxmlformats.org/officeDocument/2006/relationships/hyperlink" Target="../backups-and-monitoring.md" TargetMode="External"/><Relationship Id="rIda1kbwr31iyrs8bonohkyy" Type="http://schemas.openxmlformats.org/officeDocument/2006/relationships/hyperlink" Target="../rls-isolation-evidence.md" TargetMode="External"/><Relationship Id="rIdp3wag7izdmlturjolsrwx" Type="http://schemas.openxmlformats.org/officeDocument/2006/relationships/hyperlink" Target="../registers/vendor-subprocessor-inventory.md" TargetMode="External"/><Relationship Id="rId6rvvo2ot2lkxy2q0yh0ao" Type="http://schemas.openxmlformats.org/officeDocument/2006/relationships/hyperlink" Target="../registers/risk-register.md" TargetMode="External"/><Relationship Id="rId25tqlvrrbypftmvcwwga-" Type="http://schemas.openxmlformats.org/officeDocument/2006/relationships/hyperlink" Target="../registers/asset-inventory.md" TargetMode="External"/><Relationship Id="rIdaqpdx2ccg9x9r-8uduylr" Type="http://schemas.openxmlformats.org/officeDocument/2006/relationships/hyperlink" Target="../registers/access-review-log.md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2026-06-30T00:08:57.693Z</dcterms:created>
  <dcterms:modified xsi:type="dcterms:W3CDTF">2026-06-30T00:08:57.694Z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