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System Description (SOC 2 Scope)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plain description of the TruckFixr system for SOC 2 readiness. This defines the
</w:t>
      </w:r>
      <w:r>
        <w:rPr>
          <w:b/>
          <w:bCs/>
        </w:rPr>
        <w:t xml:space="preserve">scope</w:t>
      </w:r>
      <w:r>
        <w:t xml:space="preserve"> the controls in the policy pack apply to.</w:t>
      </w:r>
    </w:p>
    <w:p>
      <w:pPr>
        <w:pStyle w:val="Heading2"/>
      </w:pPr>
      <w:r>
        <w:t xml:space="preserve">1. Service</w:t>
      </w:r>
    </w:p>
    <w:p>
      <w:pPr>
        <w:spacing w:after="120"/>
      </w:pPr>
      <w:r>
        <w:t xml:space="preserve">TruckFixr Fleet AI is a SaaS web/PWA application providing maintenance intelligence
and decision support for small and mid-sized commercial trucking fleets: driver
inspections (DVIR), defect tracking, AI-assisted diagnosis, early-warning flags,
compliance status, and reporting.</w:t>
      </w:r>
    </w:p>
    <w:p>
      <w:pPr>
        <w:pStyle w:val="Heading2"/>
      </w:pPr>
      <w:r>
        <w:t xml:space="preserve">2. Trust services criteria in scope</w:t>
      </w:r>
    </w:p>
    <w:p>
      <w:pPr>
        <w:spacing w:after="120"/>
      </w:pPr>
      <w:r>
        <w:t xml:space="preserve">Security, Availability, and Confidentiality. (Privacy is addressed operationally via
the PIPEDA policy but is not claimed as an audited TSC.)</w:t>
      </w:r>
    </w:p>
    <w:p>
      <w:pPr>
        <w:pStyle w:val="Heading2"/>
      </w:pPr>
      <w:r>
        <w:t xml:space="preserve">3. Architecture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Hosting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Vite + React (PWA)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 static site (</w:t>
            </w:r>
            <w:r>
              <w:rPr>
                <w:rFonts w:ascii="Consolas" w:cs="Consolas" w:eastAsia="Consolas" w:hAnsi="Consolas"/>
              </w:rPr>
              <w:t xml:space="preserve">truckfixr.com</w:t>
            </w:r>
            <w:r>
              <w:t xml:space="preserve">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Node + Express + tRPC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 web service (</w:t>
            </w:r>
            <w:r>
              <w:rPr>
                <w:rFonts w:ascii="Consolas" w:cs="Consolas" w:eastAsia="Consolas" w:hAnsi="Consolas"/>
              </w:rPr>
              <w:t xml:space="preserve">truckfixr-api</w:t>
            </w:r>
            <w:r>
              <w:t xml:space="preserve">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Database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PostgreSQL (Drizzle ORM)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Supabase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Object storage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Inspection/evidence photos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Supabase Storage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Email/password + Supabase email auth + OAuth; JWT sessions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Billing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Stripe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Stripe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Email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Transactional/notification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Resend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AI diagnosis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LLM providers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OpenRouter / OpenAI / Anthropic / Google / Groq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 &amp; CI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 + GitHub Actions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GitHub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Data handled</w:t>
      </w:r>
    </w:p>
    <w:p>
      <w:pPr>
        <w:spacing w:after="120"/>
      </w:pPr>
      <w:r>
        <w:t xml:space="preserve">Account/user data, fleet &amp; vehicle data (incl. VIN/plate), inspection records and
photos, diagnostic inputs, lead PII, and billing identifiers. Classified in the
</w:t>
      </w:r>
      <w:hyperlink w:history="1" r:id="rIdfaad-ug1byikbfgo4c2mv">
        <w:r>
          <w:rPr>
            <w:rStyle w:val="Hyperlink"/>
          </w:rPr>
          <w:t xml:space="preserve">Data Classification Policy</w:t>
        </w:r>
      </w:hyperlink>
      <w:r>
        <w:t xml:space="preserve">.</w:t>
      </w:r>
    </w:p>
    <w:p>
      <w:pPr>
        <w:pStyle w:val="Heading2"/>
      </w:pPr>
      <w:r>
        <w:t xml:space="preserve">5. Key controls (summary)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Access:</w:t>
      </w:r>
      <w:r>
        <w:t xml:space="preserve"> server-side RBAC (</w:t>
      </w:r>
      <w:r>
        <w:rPr>
          <w:rFonts w:ascii="Consolas" w:cs="Consolas" w:eastAsia="Consolas" w:hAnsi="Consolas"/>
        </w:rPr>
        <w:t xml:space="preserve">protectedProcedure</w:t>
      </w:r>
      <w:r>
        <w:t xml:space="preserve">/</w:t>
      </w:r>
      <w:r>
        <w:rPr>
          <w:rFonts w:ascii="Consolas" w:cs="Consolas" w:eastAsia="Consolas" w:hAnsi="Consolas"/>
        </w:rPr>
        <w:t xml:space="preserve">adminProcedure</w:t>
      </w:r>
      <w:r>
        <w:t xml:space="preserve">/</w:t>
      </w:r>
      <w:r>
        <w:rPr>
          <w:rFonts w:ascii="Consolas" w:cs="Consolas" w:eastAsia="Consolas" w:hAnsi="Consolas"/>
        </w:rPr>
        <w:t xml:space="preserve">staffProcedure</w:t>
      </w:r>
      <w:r>
        <w:t xml:space="preserve">);
password policy; least-privilege console access with MFA (target/enforced where
supported).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 isolation:</w:t>
      </w:r>
      <w:r>
        <w:t xml:space="preserve"> application-layer fleet scoping (primary) + Postgres RLS
(defense-in-depth), verified by </w:t>
      </w:r>
      <w:r>
        <w:rPr>
          <w:rFonts w:ascii="Consolas" w:cs="Consolas" w:eastAsia="Consolas" w:hAnsi="Consolas"/>
        </w:rPr>
        <w:t xml:space="preserve">scripts/verify/rls.ts</w:t>
      </w:r>
      <w:r>
        <w:t xml:space="preserve">.
See </w:t>
      </w:r>
      <w:hyperlink w:history="1" r:id="rIdotoq7jhfujle8qa2ywqoz">
        <w:r>
          <w:rPr>
            <w:rStyle w:val="Hyperlink"/>
          </w:rPr>
          <w:t xml:space="preserve">Tenant Isolation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 management:</w:t>
      </w:r>
      <w:r>
        <w:t xml:space="preserve"> PR + CI (typecheck, tests, secret scan); migrations for
schema; runtime schema repair disabled in production.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Confidentiality:</w:t>
      </w:r>
      <w:r>
        <w:t xml:space="preserve"> TLS in transit; platform encryption at rest; redacted logs.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</w:t>
      </w:r>
      <w:r>
        <w:t xml:space="preserve"> stateless app tiers; Supabase backups; </w:t>
      </w:r>
      <w:r>
        <w:rPr>
          <w:rFonts w:ascii="Consolas" w:cs="Consolas" w:eastAsia="Consolas" w:hAnsi="Consolas"/>
        </w:rPr>
        <w:t xml:space="preserve">/healthz</w:t>
      </w:r>
      <w:r>
        <w:t xml:space="preserve">.
See </w:t>
      </w:r>
      <w:hyperlink w:history="1" r:id="rIddia8s1hdhtcmwowt5qwkt">
        <w:r>
          <w:rPr>
            <w:rStyle w:val="Hyperlink"/>
          </w:rPr>
          <w:t xml:space="preserve">Backups &amp; Monitoring</w:t>
        </w:r>
      </w:hyperlink>
      <w:r>
        <w:t xml:space="preserve">. </w:t>
      </w:r>
      <w:r>
        <w:rPr>
          <w:i/>
          <w:iCs/>
        </w:rPr>
        <w:t xml:space="preserve">(Known constraint: API on a
no-SLA tier — see that runbook.)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redacted observability (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);
uptime monitoring is a planned addition.</w:t>
      </w:r>
    </w:p>
    <w:p>
      <w:pPr>
        <w:pStyle w:val="Heading2"/>
      </w:pPr>
      <w:r>
        <w:t xml:space="preserve">6. Boundaries / sub-service organizations</w:t>
      </w:r>
    </w:p>
    <w:p>
      <w:pPr>
        <w:spacing w:after="120"/>
      </w:pPr>
      <w:r>
        <w:t xml:space="preserve">TruckFixr relies on the sub-processors listed in the
</w:t>
      </w:r>
      <w:hyperlink w:history="1" r:id="rId__jeuen3qug7vp5kvv6_e">
        <w:r>
          <w:rPr>
            <w:rStyle w:val="Hyperlink"/>
          </w:rPr>
          <w:t xml:space="preserve">Vendor / Sub-processor Inventory</w:t>
        </w:r>
      </w:hyperlink>
      <w:r>
        <w:t xml:space="preserve">. Their
own controls (carve-out) cover the infrastructure they operate.</w:t>
      </w:r>
    </w:p>
    <w:p>
      <w:pPr>
        <w:pStyle w:val="Heading2"/>
      </w:pPr>
      <w:r>
        <w:t xml:space="preserve">7. Compliance status</w:t>
      </w:r>
    </w:p>
    <w:p>
      <w:pPr>
        <w:spacing w:after="120"/>
      </w:pPr>
      <w:r>
        <w:t xml:space="preserve">SOC 2 readiness </w:t>
      </w:r>
      <w:r>
        <w:rPr>
          <w:b/>
          <w:bCs/>
        </w:rPr>
        <w:t xml:space="preserve">in progress</w:t>
      </w:r>
      <w:r>
        <w:t xml:space="preserve">; not certified. Tracked in </w:t>
      </w:r>
      <w:r>
        <w:rPr>
          <w:rFonts w:ascii="Consolas" w:cs="Consolas" w:eastAsia="Consolas" w:hAnsi="Consolas"/>
        </w:rPr>
        <w:t xml:space="preserve">reports/soc2-readiness-*.md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ad-ug1byikbfgo4c2mv" Type="http://schemas.openxmlformats.org/officeDocument/2006/relationships/hyperlink" Target="policies/08-data-classification-policy.md" TargetMode="External"/><Relationship Id="rIdotoq7jhfujle8qa2ywqoz" Type="http://schemas.openxmlformats.org/officeDocument/2006/relationships/hyperlink" Target="tenant-isolation.md" TargetMode="External"/><Relationship Id="rIddia8s1hdhtcmwowt5qwkt" Type="http://schemas.openxmlformats.org/officeDocument/2006/relationships/hyperlink" Target="backups-and-monitoring.md" TargetMode="External"/><Relationship Id="rId__jeuen3qug7vp5kvv6_e" Type="http://schemas.openxmlformats.org/officeDocument/2006/relationships/hyperlink" Target="registers/vendor-subprocessor-inventory.m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2026-06-30T00:08:58.019Z</dcterms:created>
  <dcterms:modified xsi:type="dcterms:W3CDTF">2026-06-30T00:08:58.019Z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