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ecosystem-explorer-ui-reference"/>
    <w:p>
      <w:pPr>
        <w:pStyle w:val="Heading1"/>
      </w:pPr>
      <w:r>
        <w:t xml:space="preserve">Ecosystem Explorer — UI Reference</w:t>
      </w:r>
    </w:p>
    <w:p>
      <w:pPr>
        <w:pStyle w:val="FirstParagraph"/>
      </w:pPr>
      <w:r>
        <w:t xml:space="preserve">Every visible element in the app, what it means, and how it is computed.</w:t>
      </w:r>
    </w:p>
    <w:p>
      <w:r>
        <w:pict>
          <v:rect style="width:0;height:1.5pt" o:hralign="center" o:hrstd="t" o:hr="t"/>
        </w:pict>
      </w:r>
    </w:p>
    <w:bookmarkStart w:id="9" w:name="conceptual-overview"/>
    <w:p>
      <w:pPr>
        <w:pStyle w:val="Heading2"/>
      </w:pPr>
      <w:r>
        <w:t xml:space="preserve">Conceptual Overview</w:t>
      </w:r>
    </w:p>
    <w:p>
      <w:pPr>
        <w:pStyle w:val="FirstParagraph"/>
      </w:pPr>
      <w:r>
        <w:t xml:space="preserve">The Ecosystem Explorer simulates how reallocating developed land among green infrastructure (wetlands), food forest, and high-density development affects three primary outcomes: flood runoff (via Curve Number), urban cooling (via a heat mitigation index), and food production (via yield benchmarks).</w:t>
      </w:r>
    </w:p>
    <w:p>
      <w:pPr>
        <w:pStyle w:val="BodyText"/>
      </w:pPr>
      <w:r>
        <w:t xml:space="preserve">Scenarios are generated by selecting a percentage of developed land and reallocating it across these categories. Results are computed using raster-based biophysical lookup tables and summarized at the city scale. The tool is designed for comparative exploration of tradeoffs rather than precise prediction. Results are summarized at the city scale; spatial patterns are simplified rather than explicitly optimized.</w:t>
      </w:r>
    </w:p>
    <w:p>
      <w:r>
        <w:pict>
          <v:rect style="width:0;height:1.5pt" o:hralign="center" o:hrstd="t" o:hr="t"/>
        </w:pict>
      </w:r>
    </w:p>
    <w:bookmarkEnd w:id="9"/>
    <w:bookmarkStart w:id="10" w:name="key-terms"/>
    <w:p>
      <w:pPr>
        <w:pStyle w:val="Heading2"/>
      </w:pPr>
      <w:r>
        <w:t xml:space="preserve">Key Terms</w:t>
      </w:r>
    </w:p>
    <w:p>
      <w:pPr>
        <w:pStyle w:val="FirstParagraph"/>
      </w:pPr>
      <w:r>
        <w:rPr>
          <w:b/>
          <w:bCs/>
        </w:rPr>
        <w:t xml:space="preserve">Acre-Foot</w:t>
      </w:r>
      <w:r>
        <w:t xml:space="preserve"> </w:t>
      </w:r>
      <w:r>
        <w:t xml:space="preserve">— A unit of water volume equal to one acre of surface area covered one foot deep (~326,000 gallons, or roughly half an Olympic swimming pool). For context, one acre-foot is approximately the volume of water needed to cover a standard city block (~330 × 330 feet) in about 1.3 inches of water — a useful way to visualize stormwater volumes in an urban setting.</w:t>
      </w:r>
    </w:p>
    <w:p>
      <w:pPr>
        <w:pStyle w:val="BodyText"/>
      </w:pPr>
      <w:r>
        <w:rPr>
          <w:b/>
          <w:bCs/>
        </w:rPr>
        <w:t xml:space="preserve">Curve Number (CN)</w:t>
      </w:r>
      <w:r>
        <w:t xml:space="preserve"> </w:t>
      </w:r>
      <w:r>
        <w:t xml:space="preserve">— A unitless runoff score from 0–100 developed by the USDA. High scores (e.g. 90+) mean surfaces shed water quickly, like a parking lot. Low scores (e.g. 30–50) mean surfaces absorb water slowly, like a sponge. Green infrastructure (wetlands) drives CN down; high-density development drives it up.</w:t>
      </w:r>
    </w:p>
    <w:p>
      <w:pPr>
        <w:pStyle w:val="BodyText"/>
      </w:pPr>
      <w:r>
        <w:rPr>
          <w:b/>
          <w:bCs/>
        </w:rPr>
        <w:t xml:space="preserve">Heat Mitigation (HM) Index</w:t>
      </w:r>
      <w:r>
        <w:t xml:space="preserve"> </w:t>
      </w:r>
      <w:r>
        <w:t xml:space="preserve">— A 0–1 index measuring how well a land cover type reduces urban heat through shade and evapotranspiration (cooling via water evaporation and plant transpiration). A score of 0 means no mitigation (bare pavement); a score near 1 means strong cooling effect (dense vegetation). Derived from the InVEST Urban Cooling Model.</w:t>
      </w:r>
    </w:p>
    <w:p>
      <w:r>
        <w:pict>
          <v:rect style="width:0;height:1.5pt" o:hralign="center" o:hrstd="t" o:hr="t"/>
        </w:pict>
      </w:r>
    </w:p>
    <w:bookmarkEnd w:id="10"/>
    <w:bookmarkStart w:id="11" w:name="methodology-notes"/>
    <w:p>
      <w:pPr>
        <w:pStyle w:val="Heading2"/>
      </w:pPr>
      <w:r>
        <w:t xml:space="preserve">Methodology Notes</w:t>
      </w:r>
    </w:p>
    <w:p>
      <w:pPr>
        <w:pStyle w:val="FirstParagraph"/>
      </w:pPr>
      <w:r>
        <w:rPr>
          <w:b/>
          <w:bCs/>
        </w:rPr>
        <w:t xml:space="preserve">Design Storm (2-inch rainfall)</w:t>
      </w:r>
      <w:r>
        <w:t xml:space="preserve"> </w:t>
      </w:r>
      <w:r>
        <w:t xml:space="preserve">— Flood runoff is calculated for a 2.0-inch rainfall event, representing a typical minor storm for Minneapolis rather than an extreme or century-scale event. Results for larger storms will differ; the 2-inch event is used for consistent cross-scenario comparison.</w:t>
      </w:r>
    </w:p>
    <w:p>
      <w:pPr>
        <w:pStyle w:val="BodyText"/>
      </w:pPr>
      <w:r>
        <w:rPr>
          <w:b/>
          <w:bCs/>
        </w:rPr>
        <w:t xml:space="preserve">Temperature Calibration (4°F/HM unit)</w:t>
      </w:r>
      <w:r>
        <w:t xml:space="preserve"> </w:t>
      </w:r>
      <w:r>
        <w:t xml:space="preserve">— The conversion from HM index to degrees Fahrenheit uses a factor of 4°F per HM unit, a midpoint estimate from InVEST Urban Cooling Model literature (published range: 2–5°C per HM unit). This factor has not been locally calibrated for Minneapolis and should be treated as an order-of-magnitude approximation. Outputs carry roughly ±2°F uncertainty.</w:t>
      </w:r>
    </w:p>
    <w:p>
      <w:pPr>
        <w:pStyle w:val="BodyText"/>
      </w:pPr>
      <w:r>
        <w:rPr>
          <w:b/>
          <w:bCs/>
        </w:rPr>
        <w:t xml:space="preserve">Food Forest Yield (11,500 lbs/acre/year)</w:t>
      </w:r>
      <w:r>
        <w:t xml:space="preserve"> </w:t>
      </w:r>
      <w:r>
        <w:t xml:space="preserve">— This benchmark is drawn from NatCap/InVEST food forest studies and assumes a mature, well-managed ecosystem at peak productivity. Newly established food forests will produce significantly less in early years. Actual yield depends on species mix, soil quality, management intensity, and climate.</w:t>
      </w:r>
    </w:p>
    <w:p>
      <w:r>
        <w:pict>
          <v:rect style="width:0;height:1.5pt" o:hralign="center" o:hrstd="t" o:hr="t"/>
        </w:pict>
      </w:r>
    </w:p>
    <w:bookmarkEnd w:id="11"/>
    <w:bookmarkStart w:id="12" w:name="data-sources"/>
    <w:p>
      <w:pPr>
        <w:pStyle w:val="Heading2"/>
      </w:pPr>
      <w:r>
        <w:t xml:space="preserve">Data Sources</w:t>
      </w:r>
    </w:p>
    <w:p>
      <w:pPr>
        <w:pStyle w:val="FirstParagraph"/>
      </w:pPr>
      <w:r>
        <w:rPr>
          <w:b/>
          <w:bCs/>
        </w:rPr>
        <w:t xml:space="preserve">Land Use / Land Cover</w:t>
      </w:r>
      <w:r>
        <w:t xml:space="preserve"> </w:t>
      </w:r>
      <w:r>
        <w:t xml:space="preserve">— National Land Cover Database (NLCD) 2021, produced by the USGS Multi-Resolution Land Characteristics Consortium. Provides 30m resolution land cover classifications across the contiguous US. Used to identify developed pixels eligible for conversion and to assign CN and HM values via biophysical lookup tables.</w:t>
      </w:r>
    </w:p>
    <w:p>
      <w:pPr>
        <w:pStyle w:val="BodyText"/>
      </w:pPr>
      <w:r>
        <w:rPr>
          <w:b/>
          <w:bCs/>
        </w:rPr>
        <w:t xml:space="preserve">Soils</w:t>
      </w:r>
      <w:r>
        <w:t xml:space="preserve"> </w:t>
      </w:r>
      <w:r>
        <w:t xml:space="preserve">— USDA Soil Survey Geographic Database (SSURGO), rasterized to match the NLCD grid. Soil hydrologic group (A/B/C/D) determines how quickly water infiltrates: Group A soils (sandy) absorb water readily; Group D soils (clay-rich) shed water quickly. Used to assign the correct Curve Number per land cover × soil combination.</w:t>
      </w:r>
    </w:p>
    <w:p>
      <w:pPr>
        <w:pStyle w:val="BodyText"/>
      </w:pPr>
      <w:r>
        <w:rPr>
          <w:b/>
          <w:bCs/>
        </w:rPr>
        <w:t xml:space="preserve">Biophysical Tables</w:t>
      </w:r>
      <w:r>
        <w:t xml:space="preserve"> </w:t>
      </w:r>
      <w:r>
        <w:t xml:space="preserve">— Per-lucode CN and HM parameters derived from InVEST model documentation and NatCap published studies. These tables translate NLCD land cover codes into hydrological and thermal performance values.</w:t>
      </w:r>
    </w:p>
    <w:p>
      <w:pPr>
        <w:pStyle w:val="BodyText"/>
      </w:pPr>
      <w:r>
        <w:rPr>
          <w:b/>
          <w:bCs/>
        </w:rPr>
        <w:t xml:space="preserve">Heat Exposure Proxy</w:t>
      </w:r>
      <w:r>
        <w:t xml:space="preserve"> </w:t>
      </w:r>
      <w:r>
        <w:t xml:space="preserve">— The current version uses NLCD development intensity (codes 23 &gt; 22 &gt; 21) as a stand-in for neighborhood heat vulnerability. This is a land-use proxy, not a measured temperature or socioeconomic index. A formal Heat Vulnerability Index (e.g. CDC/ATSDR HVI by census tract) is intended for a future version.</w:t>
      </w:r>
    </w:p>
    <w:p>
      <w:r>
        <w:pict>
          <v:rect style="width:0;height:1.5pt" o:hralign="center" o:hrstd="t" o:hr="t"/>
        </w:pict>
      </w:r>
    </w:p>
    <w:bookmarkEnd w:id="12"/>
    <w:bookmarkStart w:id="16" w:name="metric-cards-row-1-three-columns"/>
    <w:p>
      <w:pPr>
        <w:pStyle w:val="Heading2"/>
      </w:pPr>
      <w:r>
        <w:t xml:space="preserve">Metric Cards — Row 1 (three columns)</w:t>
      </w:r>
    </w:p>
    <w:bookmarkStart w:id="13" w:name="flood-risk-reduction"/>
    <w:p>
      <w:pPr>
        <w:pStyle w:val="Heading3"/>
      </w:pPr>
      <w:r>
        <w:t xml:space="preserve">Flood Risk Reduction</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Field</w:t>
            </w:r>
          </w:p>
        </w:tc>
        <w:tc>
          <w:tcPr/>
          <w:p>
            <w:pPr>
              <w:pStyle w:val="Compact"/>
            </w:pPr>
            <w:r>
              <w:t xml:space="preserve">Detail</w:t>
            </w:r>
          </w:p>
        </w:tc>
      </w:tr>
      <w:tr>
        <w:tc>
          <w:tcPr/>
          <w:p>
            <w:pPr>
              <w:pStyle w:val="Compact"/>
            </w:pPr>
            <w:r>
              <w:rPr>
                <w:b/>
                <w:bCs/>
              </w:rPr>
              <w:t xml:space="preserve">Represents</w:t>
            </w:r>
          </w:p>
        </w:tc>
        <w:tc>
          <w:tcPr/>
          <w:p>
            <w:pPr>
              <w:pStyle w:val="Compact"/>
            </w:pPr>
            <w:r>
              <w:t xml:space="preserve">A unitless index of runoff potential derived from the average Curve Number (CN). Lower CN implies greater infiltration and lower runoff potential. Reported as 100 − mean_CN for interpretability. Higher is better.</w:t>
            </w:r>
          </w:p>
        </w:tc>
      </w:tr>
      <w:tr>
        <w:tc>
          <w:tcPr/>
          <w:p>
            <w:pPr>
              <w:pStyle w:val="Compact"/>
            </w:pPr>
            <w:r>
              <w:rPr>
                <w:b/>
                <w:bCs/>
              </w:rPr>
              <w:t xml:space="preserve">Formula</w:t>
            </w:r>
          </w:p>
        </w:tc>
        <w:tc>
          <w:tcPr/>
          <w:p>
            <w:pPr>
              <w:pStyle w:val="Compact"/>
            </w:pPr>
            <w:r>
              <w:t xml:space="preserve">Computed as 100 minus the area-weighted average Curve Number across all pixels.</w:t>
            </w:r>
            <w:r>
              <w:t xml:space="preserve"> </w:t>
            </w:r>
            <w:r>
              <w:rPr>
                <w:b/>
                <w:bCs/>
              </w:rPr>
              <w:t xml:space="preserve">Technical detail:</w:t>
            </w:r>
            <w:r>
              <w:t xml:space="preserve"> </w:t>
            </w:r>
            <w:r>
              <w:rPr>
                <w:rStyle w:val="VerbatimChar"/>
              </w:rPr>
              <w:t xml:space="preserve">100 − mean_CN</w:t>
            </w:r>
            <w:r>
              <w:t xml:space="preserve">, where</w:t>
            </w:r>
            <w:r>
              <w:t xml:space="preserve"> </w:t>
            </w:r>
            <w:r>
              <w:rPr>
                <w:rStyle w:val="VerbatimChar"/>
              </w:rPr>
              <w:t xml:space="preserve">mean_CN</w:t>
            </w:r>
            <w:r>
              <w:t xml:space="preserve"> </w:t>
            </w:r>
            <w:r>
              <w:t xml:space="preserve">is derived from the biophysical lookup table by land cover type and soil group.</w:t>
            </w:r>
          </w:p>
        </w:tc>
      </w:tr>
      <w:tr>
        <w:tc>
          <w:tcPr/>
          <w:p>
            <w:pPr>
              <w:pStyle w:val="Compact"/>
            </w:pPr>
            <w:r>
              <w:rPr>
                <w:b/>
                <w:bCs/>
              </w:rPr>
              <w:t xml:space="preserve">Data source</w:t>
            </w:r>
          </w:p>
        </w:tc>
        <w:tc>
          <w:tcPr/>
          <w:p>
            <w:pPr>
              <w:pStyle w:val="Compact"/>
            </w:pPr>
            <w:r>
              <w:rPr>
                <w:rStyle w:val="VerbatimChar"/>
              </w:rPr>
              <w:t xml:space="preserve">UFR_biophysical_table_MN.csv</w:t>
            </w:r>
            <w:r>
              <w:t xml:space="preserve"> </w:t>
            </w:r>
            <w:r>
              <w:t xml:space="preserve">(CN values by lucode × soil group),</w:t>
            </w:r>
            <w:r>
              <w:t xml:space="preserve"> </w:t>
            </w:r>
            <w:r>
              <w:rPr>
                <w:rStyle w:val="VerbatimChar"/>
              </w:rPr>
              <w:t xml:space="preserve">soil_group_MN.tif</w:t>
            </w:r>
            <w:r>
              <w:t xml:space="preserve">,</w:t>
            </w:r>
            <w:r>
              <w:t xml:space="preserve"> </w:t>
            </w:r>
            <w:r>
              <w:rPr>
                <w:rStyle w:val="VerbatimChar"/>
              </w:rPr>
              <w:t xml:space="preserve">LULC_NLCD_2021_MN.tif</w:t>
            </w:r>
            <w:r>
              <w:t xml:space="preserve">.</w:t>
            </w:r>
          </w:p>
        </w:tc>
      </w:tr>
      <w:tr>
        <w:tc>
          <w:tcPr/>
          <w:p>
            <w:pPr>
              <w:pStyle w:val="Compact"/>
            </w:pPr>
            <w:r>
              <w:rPr>
                <w:b/>
                <w:bCs/>
              </w:rPr>
              <w:t xml:space="preserve">Delta</w:t>
            </w:r>
          </w:p>
        </w:tc>
        <w:tc>
          <w:tcPr/>
          <w:p>
            <w:pPr>
              <w:pStyle w:val="Compact"/>
            </w:pPr>
            <w:r>
              <w:t xml:space="preserve">Difference vs baseline (</w:t>
            </w:r>
            <w:r>
              <w:rPr>
                <w:rStyle w:val="VerbatimChar"/>
              </w:rPr>
              <w:t xml:space="preserve">BASELINE_CN = 75.7</w:t>
            </w:r>
            <w:r>
              <w:t xml:space="preserve"> </w:t>
            </w:r>
            <w:r>
              <w:t xml:space="preserve">→ baseline index = 24.3).</w:t>
            </w:r>
          </w:p>
        </w:tc>
      </w:tr>
      <w:tr>
        <w:tc>
          <w:tcPr/>
          <w:p>
            <w:pPr>
              <w:pStyle w:val="Compact"/>
            </w:pPr>
            <w:r>
              <w:rPr>
                <w:b/>
                <w:bCs/>
              </w:rPr>
              <w:t xml:space="preserve">Caveats</w:t>
            </w:r>
          </w:p>
        </w:tc>
        <w:tc>
          <w:tcPr/>
          <w:p>
            <w:pPr>
              <w:pStyle w:val="Compact"/>
            </w:pPr>
            <w:r>
              <w:t xml:space="preserve">Not a direct percentage reduction in runoff volume — it is a CN-derived index. Green infrastructure (NLCD 90) drives the largest improvements; high-density development (NLCD 24) makes it worse.</w:t>
            </w:r>
          </w:p>
        </w:tc>
      </w:tr>
    </w:tbl>
    <w:p>
      <w:r>
        <w:pict>
          <v:rect style="width:0;height:1.5pt" o:hralign="center" o:hrstd="t" o:hr="t"/>
        </w:pict>
      </w:r>
    </w:p>
    <w:bookmarkEnd w:id="13"/>
    <w:bookmarkStart w:id="14" w:name="temperature-change"/>
    <w:p>
      <w:pPr>
        <w:pStyle w:val="Heading3"/>
      </w:pPr>
      <w:r>
        <w:t xml:space="preserve">Temperature Change</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Field</w:t>
            </w:r>
          </w:p>
        </w:tc>
        <w:tc>
          <w:tcPr/>
          <w:p>
            <w:pPr>
              <w:pStyle w:val="Compact"/>
            </w:pPr>
            <w:r>
              <w:t xml:space="preserve">Detail</w:t>
            </w:r>
          </w:p>
        </w:tc>
      </w:tr>
      <w:tr>
        <w:tc>
          <w:tcPr/>
          <w:p>
            <w:pPr>
              <w:pStyle w:val="Compact"/>
            </w:pPr>
            <w:r>
              <w:rPr>
                <w:b/>
                <w:bCs/>
              </w:rPr>
              <w:t xml:space="preserve">Represents</w:t>
            </w:r>
          </w:p>
        </w:tc>
        <w:tc>
          <w:tcPr/>
          <w:p>
            <w:pPr>
              <w:pStyle w:val="Compact"/>
            </w:pPr>
            <w:r>
              <w:t xml:space="preserve">Approximate air-temperature difference vs the unmodified baseline, expressed as a direction and magnitude (e.g. </w:t>
            </w:r>
            <w:r>
              <w:t xml:space="preserve">“1.2°F cooler”</w:t>
            </w:r>
            <w:r>
              <w:t xml:space="preserve"> </w:t>
            </w:r>
            <w:r>
              <w:t xml:space="preserve">or</w:t>
            </w:r>
            <w:r>
              <w:t xml:space="preserve"> </w:t>
            </w:r>
            <w:r>
              <w:t xml:space="preserve">“0.8°F warmer”</w:t>
            </w:r>
            <w:r>
              <w:t xml:space="preserve">).</w:t>
            </w:r>
          </w:p>
        </w:tc>
      </w:tr>
      <w:tr>
        <w:tc>
          <w:tcPr/>
          <w:p>
            <w:pPr>
              <w:pStyle w:val="Compact"/>
            </w:pPr>
            <w:r>
              <w:rPr>
                <w:b/>
                <w:bCs/>
              </w:rPr>
              <w:t xml:space="preserve">Formula</w:t>
            </w:r>
          </w:p>
        </w:tc>
        <w:tc>
          <w:tcPr/>
          <w:p>
            <w:pPr>
              <w:pStyle w:val="Compact"/>
            </w:pPr>
            <w:r>
              <w:t xml:space="preserve">Computed by averaging the shade and evapotranspiration coefficients for each pixel, then converting the change vs baseline to degrees Fahrenheit using a calibration factor.</w:t>
            </w:r>
            <w:r>
              <w:t xml:space="preserve"> </w:t>
            </w:r>
            <w:r>
              <w:rPr>
                <w:b/>
                <w:bCs/>
              </w:rPr>
              <w:t xml:space="preserve">Technical detail:</w:t>
            </w:r>
            <w:r>
              <w:t xml:space="preserve"> </w:t>
            </w:r>
            <w:r>
              <w:rPr>
                <w:rStyle w:val="VerbatimChar"/>
              </w:rPr>
              <w:t xml:space="preserve">HM = (shade + kc) / 2</w:t>
            </w:r>
            <w:r>
              <w:t xml:space="preserve"> </w:t>
            </w:r>
            <w:r>
              <w:t xml:space="preserve">per InVEST Urban Cooling Model;</w:t>
            </w:r>
            <w:r>
              <w:t xml:space="preserve"> </w:t>
            </w:r>
            <w:r>
              <w:rPr>
                <w:rStyle w:val="VerbatimChar"/>
              </w:rPr>
              <w:t xml:space="preserve">ΔHM × 4.0°F/HM unit</w:t>
            </w:r>
            <w:r>
              <w:t xml:space="preserve">. Calibration: 4.0°F/HM is an approximate midpoint from InVEST UCM literature (range 2–5°C per HM unit); not locally calibrated for Minneapolis. Treat as directional only.</w:t>
            </w:r>
          </w:p>
        </w:tc>
      </w:tr>
      <w:tr>
        <w:tc>
          <w:tcPr/>
          <w:p>
            <w:pPr>
              <w:pStyle w:val="Compact"/>
            </w:pPr>
            <w:r>
              <w:rPr>
                <w:b/>
                <w:bCs/>
              </w:rPr>
              <w:t xml:space="preserve">Data source</w:t>
            </w:r>
          </w:p>
        </w:tc>
        <w:tc>
          <w:tcPr/>
          <w:p>
            <w:pPr>
              <w:pStyle w:val="Compact"/>
            </w:pPr>
            <w:r>
              <w:rPr>
                <w:rStyle w:val="VerbatimChar"/>
              </w:rPr>
              <w:t xml:space="preserve">biophysical_table_urban_cooling.csv</w:t>
            </w:r>
            <w:r>
              <w:t xml:space="preserve"> </w:t>
            </w:r>
            <w:r>
              <w:t xml:space="preserve">(shade and kc columns per NLCD lucode).</w:t>
            </w:r>
          </w:p>
        </w:tc>
      </w:tr>
      <w:tr>
        <w:tc>
          <w:tcPr/>
          <w:p>
            <w:pPr>
              <w:pStyle w:val="Compact"/>
            </w:pPr>
            <w:r>
              <w:rPr>
                <w:b/>
                <w:bCs/>
              </w:rPr>
              <w:t xml:space="preserve">Delta</w:t>
            </w:r>
          </w:p>
        </w:tc>
        <w:tc>
          <w:tcPr/>
          <w:p>
            <w:pPr>
              <w:pStyle w:val="Compact"/>
            </w:pPr>
            <w:r>
              <w:t xml:space="preserve">Raw HM values for the scenario and baseline shown side-by-side (e.g. </w:t>
            </w:r>
            <w:r>
              <w:t xml:space="preserve">“HM 0.3142 vs 0.2719”</w:t>
            </w:r>
            <w:r>
              <w:t xml:space="preserve">).</w:t>
            </w:r>
          </w:p>
        </w:tc>
      </w:tr>
      <w:tr>
        <w:tc>
          <w:tcPr/>
          <w:p>
            <w:pPr>
              <w:pStyle w:val="Compact"/>
            </w:pPr>
            <w:r>
              <w:rPr>
                <w:b/>
                <w:bCs/>
              </w:rPr>
              <w:t xml:space="preserve">Caveats</w:t>
            </w:r>
          </w:p>
        </w:tc>
        <w:tc>
          <w:tcPr/>
          <w:p>
            <w:pPr>
              <w:pStyle w:val="Compact"/>
            </w:pPr>
            <w:r>
              <w:t xml:space="preserve">Calibration factor of 4 °F/HM unit is approximate for Minneapolis; accuracy is roughly ±2 °F. The HM index is a proxy, not a direct temperature measurement. This scaling is not locally calibrated and should not be interpreted as a site-specific temperature prediction.</w:t>
            </w:r>
          </w:p>
        </w:tc>
      </w:tr>
    </w:tbl>
    <w:p>
      <w:r>
        <w:pict>
          <v:rect style="width:0;height:1.5pt" o:hralign="center" o:hrstd="t" o:hr="t"/>
        </w:pict>
      </w:r>
    </w:p>
    <w:bookmarkEnd w:id="14"/>
    <w:bookmarkStart w:id="15" w:name="runoff-volume"/>
    <w:p>
      <w:pPr>
        <w:pStyle w:val="Heading3"/>
      </w:pPr>
      <w:r>
        <w:t xml:space="preserve">Runoff Volume</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Field</w:t>
            </w:r>
          </w:p>
        </w:tc>
        <w:tc>
          <w:tcPr/>
          <w:p>
            <w:pPr>
              <w:pStyle w:val="Compact"/>
            </w:pPr>
            <w:r>
              <w:t xml:space="preserve">Detail</w:t>
            </w:r>
          </w:p>
        </w:tc>
      </w:tr>
      <w:tr>
        <w:tc>
          <w:tcPr/>
          <w:p>
            <w:pPr>
              <w:pStyle w:val="Compact"/>
            </w:pPr>
            <w:r>
              <w:rPr>
                <w:b/>
                <w:bCs/>
              </w:rPr>
              <w:t xml:space="preserve">Represents</w:t>
            </w:r>
          </w:p>
        </w:tc>
        <w:tc>
          <w:tcPr/>
          <w:p>
            <w:pPr>
              <w:pStyle w:val="Compact"/>
            </w:pPr>
            <w:r>
              <w:t xml:space="preserve">Total stormwater runoff volume generated under this scenario for a 2-inch design storm, across all developed land. Lower values indicate greater runoff reduction relative to baseline.</w:t>
            </w:r>
          </w:p>
        </w:tc>
      </w:tr>
      <w:tr>
        <w:tc>
          <w:tcPr/>
          <w:p>
            <w:pPr>
              <w:pStyle w:val="Compact"/>
            </w:pPr>
            <w:r>
              <w:rPr>
                <w:b/>
                <w:bCs/>
              </w:rPr>
              <w:t xml:space="preserve">Formula</w:t>
            </w:r>
          </w:p>
        </w:tc>
        <w:tc>
          <w:tcPr/>
          <w:p>
            <w:pPr>
              <w:pStyle w:val="Compact"/>
            </w:pPr>
            <w:r>
              <w:t xml:space="preserve">Calculated using the standard USDA-SCS method, which converts the Curve Number and 2-inch rainfall depth into a runoff depth, then scales by total developed acreage.</w:t>
            </w:r>
            <w:r>
              <w:t xml:space="preserve"> </w:t>
            </w:r>
            <w:r>
              <w:rPr>
                <w:b/>
                <w:bCs/>
              </w:rPr>
              <w:t xml:space="preserve">Technical detail:</w:t>
            </w:r>
            <w:r>
              <w:t xml:space="preserve"> </w:t>
            </w:r>
            <w:r>
              <w:rPr>
                <w:rStyle w:val="VerbatimChar"/>
              </w:rPr>
              <w:t xml:space="preserve">S = (1000/CN) − 10</w:t>
            </w:r>
            <w:r>
              <w:t xml:space="preserve">,</w:t>
            </w:r>
            <w:r>
              <w:t xml:space="preserve"> </w:t>
            </w:r>
            <w:r>
              <w:rPr>
                <w:rStyle w:val="VerbatimChar"/>
              </w:rPr>
              <w:t xml:space="preserve">Ia = 0.2S</w:t>
            </w:r>
            <w:r>
              <w:t xml:space="preserve">,</w:t>
            </w:r>
            <w:r>
              <w:t xml:space="preserve"> </w:t>
            </w:r>
            <w:r>
              <w:rPr>
                <w:rStyle w:val="VerbatimChar"/>
              </w:rPr>
              <w:t xml:space="preserve">Q_in = (P−Ia)²/(P−Ia+S)</w:t>
            </w:r>
            <w:r>
              <w:t xml:space="preserve">, then</w:t>
            </w:r>
            <w:r>
              <w:t xml:space="preserve"> </w:t>
            </w:r>
            <w:r>
              <w:rPr>
                <w:rStyle w:val="VerbatimChar"/>
              </w:rPr>
              <w:t xml:space="preserve">(Q_in/12) × total_developed_acres</w:t>
            </w:r>
            <w:r>
              <w:t xml:space="preserve"> </w:t>
            </w:r>
            <w:r>
              <w:t xml:space="preserve">in acre-feet.</w:t>
            </w:r>
            <w:r>
              <w:t xml:space="preserve"> </w:t>
            </w:r>
            <w:r>
              <w:rPr>
                <w:rStyle w:val="VerbatimChar"/>
              </w:rPr>
              <w:t xml:space="preserve">P = 2.0 inches</w:t>
            </w:r>
            <w:r>
              <w:t xml:space="preserve">.</w:t>
            </w:r>
          </w:p>
        </w:tc>
      </w:tr>
      <w:tr>
        <w:tc>
          <w:tcPr/>
          <w:p>
            <w:pPr>
              <w:pStyle w:val="Compact"/>
            </w:pPr>
            <w:r>
              <w:rPr>
                <w:b/>
                <w:bCs/>
              </w:rPr>
              <w:t xml:space="preserve">Data source</w:t>
            </w:r>
          </w:p>
        </w:tc>
        <w:tc>
          <w:tcPr/>
          <w:p>
            <w:pPr>
              <w:pStyle w:val="Compact"/>
            </w:pPr>
            <w:r>
              <w:t xml:space="preserve">Derived from</w:t>
            </w:r>
            <w:r>
              <w:t xml:space="preserve"> </w:t>
            </w:r>
            <w:r>
              <w:rPr>
                <w:rStyle w:val="VerbatimChar"/>
              </w:rPr>
              <w:t xml:space="preserve">mean_CN</w:t>
            </w:r>
            <w:r>
              <w:t xml:space="preserve"> </w:t>
            </w:r>
            <w:r>
              <w:t xml:space="preserve">(see Flood Risk Reduction) and total developed acreage (</w:t>
            </w:r>
            <w:r>
              <w:rPr>
                <w:rStyle w:val="VerbatimChar"/>
              </w:rPr>
              <w:t xml:space="preserve">n_developed_pixels × 0.222 acres</w:t>
            </w:r>
            <w:r>
              <w:t xml:space="preserve">).</w:t>
            </w:r>
          </w:p>
        </w:tc>
      </w:tr>
      <w:tr>
        <w:tc>
          <w:tcPr/>
          <w:p>
            <w:pPr>
              <w:pStyle w:val="Compact"/>
            </w:pPr>
            <w:r>
              <w:rPr>
                <w:b/>
                <w:bCs/>
              </w:rPr>
              <w:t xml:space="preserve">Caveats</w:t>
            </w:r>
          </w:p>
        </w:tc>
        <w:tc>
          <w:tcPr/>
          <w:p>
            <w:pPr>
              <w:pStyle w:val="Compact"/>
            </w:pPr>
            <w:r>
              <w:t xml:space="preserve">A 2-inch storm represents a common minor design event; results for larger storms will differ. The card’s delta sub-label shows the explicit reduction vs baseline (green) or increase (red).</w:t>
            </w:r>
          </w:p>
        </w:tc>
      </w:tr>
    </w:tbl>
    <w:p>
      <w:r>
        <w:pict>
          <v:rect style="width:0;height:1.5pt" o:hralign="center" o:hrstd="t" o:hr="t"/>
        </w:pict>
      </w:r>
    </w:p>
    <w:bookmarkEnd w:id="15"/>
    <w:bookmarkEnd w:id="16"/>
    <w:bookmarkStart w:id="19" w:name="metric-cards-row-2-two-columns"/>
    <w:p>
      <w:pPr>
        <w:pStyle w:val="Heading2"/>
      </w:pPr>
      <w:r>
        <w:t xml:space="preserve">Metric Cards — Row 2 (two columns)</w:t>
      </w:r>
    </w:p>
    <w:bookmarkStart w:id="17" w:name="food-production"/>
    <w:p>
      <w:pPr>
        <w:pStyle w:val="Heading3"/>
      </w:pPr>
      <w:r>
        <w:t xml:space="preserve">Food Production</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Field</w:t>
            </w:r>
          </w:p>
        </w:tc>
        <w:tc>
          <w:tcPr/>
          <w:p>
            <w:pPr>
              <w:pStyle w:val="Compact"/>
            </w:pPr>
            <w:r>
              <w:t xml:space="preserve">Detail</w:t>
            </w:r>
          </w:p>
        </w:tc>
      </w:tr>
      <w:tr>
        <w:tc>
          <w:tcPr/>
          <w:p>
            <w:pPr>
              <w:pStyle w:val="Compact"/>
            </w:pPr>
            <w:r>
              <w:rPr>
                <w:b/>
                <w:bCs/>
              </w:rPr>
              <w:t xml:space="preserve">Represents</w:t>
            </w:r>
          </w:p>
        </w:tc>
        <w:tc>
          <w:tcPr/>
          <w:p>
            <w:pPr>
              <w:pStyle w:val="Compact"/>
            </w:pPr>
            <w:r>
              <w:t xml:space="preserve">Annual food yield from pixels converted to food forest land cover, in millions of pounds per year.</w:t>
            </w:r>
          </w:p>
        </w:tc>
      </w:tr>
      <w:tr>
        <w:tc>
          <w:tcPr/>
          <w:p>
            <w:pPr>
              <w:pStyle w:val="Compact"/>
            </w:pPr>
            <w:r>
              <w:rPr>
                <w:b/>
                <w:bCs/>
              </w:rPr>
              <w:t xml:space="preserve">Formula</w:t>
            </w:r>
          </w:p>
        </w:tc>
        <w:tc>
          <w:tcPr/>
          <w:p>
            <w:pPr>
              <w:pStyle w:val="Compact"/>
            </w:pPr>
            <w:r>
              <w:t xml:space="preserve">Counts the number of food forest pixels in the scenario, converts to acres, and multiplies by the yield benchmark.</w:t>
            </w:r>
            <w:r>
              <w:t xml:space="preserve"> </w:t>
            </w:r>
            <w:r>
              <w:rPr>
                <w:b/>
                <w:bCs/>
              </w:rPr>
              <w:t xml:space="preserve">Technical detail:</w:t>
            </w:r>
            <w:r>
              <w:t xml:space="preserve"> </w:t>
            </w:r>
            <w:r>
              <w:rPr>
                <w:rStyle w:val="VerbatimChar"/>
              </w:rPr>
              <w:t xml:space="preserve">n_food_forest_pixels × 0.222 acres/pixel × 11,500 lbs/acre/year ÷ 1,000,000</w:t>
            </w:r>
            <w:r>
              <w:t xml:space="preserve">.</w:t>
            </w:r>
          </w:p>
        </w:tc>
      </w:tr>
      <w:tr>
        <w:tc>
          <w:tcPr/>
          <w:p>
            <w:pPr>
              <w:pStyle w:val="Compact"/>
            </w:pPr>
            <w:r>
              <w:rPr>
                <w:b/>
                <w:bCs/>
              </w:rPr>
              <w:t xml:space="preserve">Data source</w:t>
            </w:r>
          </w:p>
        </w:tc>
        <w:tc>
          <w:tcPr/>
          <w:p>
            <w:pPr>
              <w:pStyle w:val="Compact"/>
            </w:pPr>
            <w:r>
              <w:t xml:space="preserve">Pixel count from the scenario LULC raster (NLCD code 41 pixels). Yield benchmark from San Antonio NatCap study.</w:t>
            </w:r>
          </w:p>
        </w:tc>
      </w:tr>
      <w:tr>
        <w:tc>
          <w:tcPr/>
          <w:p>
            <w:pPr>
              <w:pStyle w:val="Compact"/>
            </w:pPr>
            <w:r>
              <w:rPr>
                <w:b/>
                <w:bCs/>
              </w:rPr>
              <w:t xml:space="preserve">Delta</w:t>
            </w:r>
          </w:p>
        </w:tc>
        <w:tc>
          <w:tcPr/>
          <w:p>
            <w:pPr>
              <w:pStyle w:val="Compact"/>
            </w:pPr>
            <w:r>
              <w:t xml:space="preserve">People fed, computed as</w:t>
            </w:r>
            <w:r>
              <w:t xml:space="preserve"> </w:t>
            </w:r>
            <w:r>
              <w:rPr>
                <w:rStyle w:val="VerbatimChar"/>
              </w:rPr>
              <w:t xml:space="preserve">total_lbs ÷ 2,000 lbs/person/year</w:t>
            </w:r>
            <w:r>
              <w:t xml:space="preserve">.</w:t>
            </w:r>
          </w:p>
        </w:tc>
      </w:tr>
      <w:tr>
        <w:tc>
          <w:tcPr/>
          <w:p>
            <w:pPr>
              <w:pStyle w:val="Compact"/>
            </w:pPr>
            <w:r>
              <w:rPr>
                <w:b/>
                <w:bCs/>
              </w:rPr>
              <w:t xml:space="preserve">Caveats</w:t>
            </w:r>
          </w:p>
        </w:tc>
        <w:tc>
          <w:tcPr/>
          <w:p>
            <w:pPr>
              <w:pStyle w:val="Compact"/>
            </w:pPr>
            <w:r>
              <w:t xml:space="preserve">11,500 lbs/acre/year is a benchmark estimate, not site-specific. NLCD code 41 (deciduous forest) is used as a proxy for food-producing tree cover. Actual yield depends on species mix, management, and soil quality. Deciduous forest (NLCD 41) is used as a proxy because it best represents the canopy structure, shade cover, and evapotranspiration characteristics of a managed food forest among available NLCD classes. No NLCD class exists specifically for food forests or agroforestry systems.</w:t>
            </w:r>
          </w:p>
        </w:tc>
      </w:tr>
    </w:tbl>
    <w:p>
      <w:r>
        <w:pict>
          <v:rect style="width:0;height:1.5pt" o:hralign="center" o:hrstd="t" o:hr="t"/>
        </w:pict>
      </w:r>
    </w:p>
    <w:bookmarkEnd w:id="17"/>
    <w:bookmarkStart w:id="18" w:name="est.-implementation-cost"/>
    <w:p>
      <w:pPr>
        <w:pStyle w:val="Heading3"/>
      </w:pPr>
      <w:r>
        <w:t xml:space="preserve">Est. Implementation Cost</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Field</w:t>
            </w:r>
          </w:p>
        </w:tc>
        <w:tc>
          <w:tcPr/>
          <w:p>
            <w:pPr>
              <w:pStyle w:val="Compact"/>
            </w:pPr>
            <w:r>
              <w:t xml:space="preserve">Detail</w:t>
            </w:r>
          </w:p>
        </w:tc>
      </w:tr>
      <w:tr>
        <w:tc>
          <w:tcPr/>
          <w:p>
            <w:pPr>
              <w:pStyle w:val="Compact"/>
            </w:pPr>
            <w:r>
              <w:rPr>
                <w:b/>
                <w:bCs/>
              </w:rPr>
              <w:t xml:space="preserve">Represents</w:t>
            </w:r>
          </w:p>
        </w:tc>
        <w:tc>
          <w:tcPr/>
          <w:p>
            <w:pPr>
              <w:pStyle w:val="Compact"/>
            </w:pPr>
            <w:r>
              <w:t xml:space="preserve">Rough order-of-magnitude total capital cost to implement all conversions in the scenario.</w:t>
            </w:r>
          </w:p>
        </w:tc>
      </w:tr>
      <w:tr>
        <w:tc>
          <w:tcPr/>
          <w:p>
            <w:pPr>
              <w:pStyle w:val="Compact"/>
            </w:pPr>
            <w:r>
              <w:rPr>
                <w:b/>
                <w:bCs/>
              </w:rPr>
              <w:t xml:space="preserve">Formula</w:t>
            </w:r>
          </w:p>
        </w:tc>
        <w:tc>
          <w:tcPr/>
          <w:p>
            <w:pPr>
              <w:pStyle w:val="Compact"/>
            </w:pPr>
            <w:r>
              <w:t xml:space="preserve">Multiplies the acreage of each land use type by its per-acre cost and sums across all three types.</w:t>
            </w:r>
            <w:r>
              <w:t xml:space="preserve"> </w:t>
            </w:r>
            <w:r>
              <w:rPr>
                <w:b/>
                <w:bCs/>
              </w:rPr>
              <w:t xml:space="preserve">Technical detail:</w:t>
            </w:r>
            <w:r>
              <w:t xml:space="preserve"> </w:t>
            </w:r>
            <w:r>
              <w:rPr>
                <w:rStyle w:val="VerbatimChar"/>
              </w:rPr>
              <w:t xml:space="preserve">(n_GI_pixels × 0.222 × cost_GI) + (n_FF_pixels × 0.222 × cost_FF) + (n_HD_pixels × 0.222 × cost_HD)</w:t>
            </w:r>
            <w:r>
              <w:t xml:space="preserve">, divided by 1,000,000 for $M display.</w:t>
            </w:r>
          </w:p>
        </w:tc>
      </w:tr>
      <w:tr>
        <w:tc>
          <w:tcPr/>
          <w:p>
            <w:pPr>
              <w:pStyle w:val="Compact"/>
            </w:pPr>
            <w:r>
              <w:rPr>
                <w:b/>
                <w:bCs/>
              </w:rPr>
              <w:t xml:space="preserve">Data source</w:t>
            </w:r>
          </w:p>
        </w:tc>
        <w:tc>
          <w:tcPr/>
          <w:p>
            <w:pPr>
              <w:pStyle w:val="Compact"/>
            </w:pPr>
            <w:r>
              <w:t xml:space="preserve">Pixel counts from the scenario LULC; per-acre costs from the sidebar sliders.</w:t>
            </w:r>
          </w:p>
        </w:tc>
      </w:tr>
      <w:tr>
        <w:tc>
          <w:tcPr/>
          <w:p>
            <w:pPr>
              <w:pStyle w:val="Compact"/>
            </w:pPr>
            <w:r>
              <w:rPr>
                <w:b/>
                <w:bCs/>
              </w:rPr>
              <w:t xml:space="preserve">Caveats</w:t>
            </w:r>
          </w:p>
        </w:tc>
        <w:tc>
          <w:tcPr/>
          <w:p>
            <w:pPr>
              <w:pStyle w:val="Compact"/>
            </w:pPr>
            <w:r>
              <w:t xml:space="preserve">Does not include maintenance, land acquisition, or displacement costs. Defaults ($50k/acre GI, $10k/acre FF, $5k/acre HD) are rough midpoints; use the sliders to reflect local conditions.</w:t>
            </w:r>
          </w:p>
        </w:tc>
      </w:tr>
    </w:tbl>
    <w:p>
      <w:r>
        <w:pict>
          <v:rect style="width:0;height:1.5pt" o:hralign="center" o:hrstd="t" o:hr="t"/>
        </w:pict>
      </w:r>
    </w:p>
    <w:bookmarkEnd w:id="18"/>
    <w:bookmarkEnd w:id="19"/>
    <w:bookmarkStart w:id="23" w:name="X829dc69744e10072c496dd2408a113055bf8004"/>
    <w:p>
      <w:pPr>
        <w:pStyle w:val="Heading2"/>
      </w:pPr>
      <w:r>
        <w:t xml:space="preserve">Metric Cards — Row 3: Cost-Effectiveness Ratios</w:t>
      </w:r>
    </w:p>
    <w:p>
      <w:pPr>
        <w:pStyle w:val="FirstParagraph"/>
      </w:pPr>
      <w:r>
        <w:t xml:space="preserve">All three ratios show</w:t>
      </w:r>
      <w:r>
        <w:t xml:space="preserve"> </w:t>
      </w:r>
      <w:r>
        <w:rPr>
          <w:b/>
          <w:bCs/>
        </w:rPr>
        <w:t xml:space="preserve">N/A</w:t>
      </w:r>
      <w:r>
        <w:t xml:space="preserve"> </w:t>
      </w:r>
      <w:r>
        <w:t xml:space="preserve">when the denominator is zero or negative (no improvement vs baseline) or when total cost is zero (no conversions).</w:t>
      </w:r>
    </w:p>
    <w:p>
      <w:pPr>
        <w:pStyle w:val="BodyText"/>
      </w:pPr>
      <w:r>
        <w:rPr>
          <w:b/>
          <w:bCs/>
        </w:rPr>
        <w:t xml:space="preserve">Decision Note:</w:t>
      </w:r>
      <w:r>
        <w:t xml:space="preserve"> </w:t>
      </w:r>
      <w:r>
        <w:t xml:space="preserve">If you see N/A, it means one of two things: either the scenario has zero cost (no land was converted), or the scenario is performing worse than the current city baseline on that specific metric — for example, adding high-density development increases runoff rather than reducing it. Try adjusting the conversion mix toward green infrastructure or food forest to see cost-effectiveness values appear.</w:t>
      </w:r>
    </w:p>
    <w:bookmarkStart w:id="20" w:name="cost-acre-foot-prevented"/>
    <w:p>
      <w:pPr>
        <w:pStyle w:val="Heading3"/>
      </w:pPr>
      <w:r>
        <w:t xml:space="preserve">Cost / Acre-Foot Prevented</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Field</w:t>
            </w:r>
          </w:p>
        </w:tc>
        <w:tc>
          <w:tcPr/>
          <w:p>
            <w:pPr>
              <w:pStyle w:val="Compact"/>
            </w:pPr>
            <w:r>
              <w:t xml:space="preserve">Detail</w:t>
            </w:r>
          </w:p>
        </w:tc>
      </w:tr>
      <w:tr>
        <w:tc>
          <w:tcPr/>
          <w:p>
            <w:pPr>
              <w:pStyle w:val="Compact"/>
            </w:pPr>
            <w:r>
              <w:rPr>
                <w:b/>
                <w:bCs/>
              </w:rPr>
              <w:t xml:space="preserve">Represents</w:t>
            </w:r>
          </w:p>
        </w:tc>
        <w:tc>
          <w:tcPr/>
          <w:p>
            <w:pPr>
              <w:pStyle w:val="Compact"/>
            </w:pPr>
            <w:r>
              <w:t xml:space="preserve">Implementation dollars spent per acre-foot of runoff reduction relative to the baseline scenario.</w:t>
            </w:r>
          </w:p>
        </w:tc>
      </w:tr>
      <w:tr>
        <w:tc>
          <w:tcPr/>
          <w:p>
            <w:pPr>
              <w:pStyle w:val="Compact"/>
            </w:pPr>
            <w:r>
              <w:rPr>
                <w:b/>
                <w:bCs/>
              </w:rPr>
              <w:t xml:space="preserve">Formula</w:t>
            </w:r>
          </w:p>
        </w:tc>
        <w:tc>
          <w:tcPr/>
          <w:p>
            <w:pPr>
              <w:pStyle w:val="Compact"/>
            </w:pPr>
            <w:r>
              <w:rPr>
                <w:rStyle w:val="VerbatimChar"/>
              </w:rPr>
              <w:t xml:space="preserve">total_cost_$ ÷ (BASELINE_RUNOFF_ACFT − scenario_runoff_acft)</w:t>
            </w:r>
            <w:r>
              <w:t xml:space="preserve">.</w:t>
            </w:r>
          </w:p>
        </w:tc>
      </w:tr>
      <w:tr>
        <w:tc>
          <w:tcPr/>
          <w:p>
            <w:pPr>
              <w:pStyle w:val="Compact"/>
            </w:pPr>
            <w:r>
              <w:rPr>
                <w:b/>
                <w:bCs/>
              </w:rPr>
              <w:t xml:space="preserve">Caveats</w:t>
            </w:r>
          </w:p>
        </w:tc>
        <w:tc>
          <w:tcPr/>
          <w:p>
            <w:pPr>
              <w:pStyle w:val="Compact"/>
            </w:pPr>
            <w:r>
              <w:t xml:space="preserve">N/A if the scenario increases runoff (e.g. all high-density). Lower is better.</w:t>
            </w:r>
          </w:p>
        </w:tc>
      </w:tr>
    </w:tbl>
    <w:p>
      <w:r>
        <w:pict>
          <v:rect style="width:0;height:1.5pt" o:hralign="center" o:hrstd="t" o:hr="t"/>
        </w:pict>
      </w:r>
    </w:p>
    <w:bookmarkEnd w:id="20"/>
    <w:bookmarkStart w:id="21" w:name="cost-f-cooling"/>
    <w:p>
      <w:pPr>
        <w:pStyle w:val="Heading3"/>
      </w:pPr>
      <w:r>
        <w:t xml:space="preserve">Cost / °F Cooling</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Field</w:t>
            </w:r>
          </w:p>
        </w:tc>
        <w:tc>
          <w:tcPr/>
          <w:p>
            <w:pPr>
              <w:pStyle w:val="Compact"/>
            </w:pPr>
            <w:r>
              <w:t xml:space="preserve">Detail</w:t>
            </w:r>
          </w:p>
        </w:tc>
      </w:tr>
      <w:tr>
        <w:tc>
          <w:tcPr/>
          <w:p>
            <w:pPr>
              <w:pStyle w:val="Compact"/>
            </w:pPr>
            <w:r>
              <w:rPr>
                <w:b/>
                <w:bCs/>
              </w:rPr>
              <w:t xml:space="preserve">Represents</w:t>
            </w:r>
          </w:p>
        </w:tc>
        <w:tc>
          <w:tcPr/>
          <w:p>
            <w:pPr>
              <w:pStyle w:val="Compact"/>
            </w:pPr>
            <w:r>
              <w:t xml:space="preserve">Implementation dollars spent per degree Fahrenheit of cooling vs baseline.</w:t>
            </w:r>
          </w:p>
        </w:tc>
      </w:tr>
      <w:tr>
        <w:tc>
          <w:tcPr/>
          <w:p>
            <w:pPr>
              <w:pStyle w:val="Compact"/>
            </w:pPr>
            <w:r>
              <w:rPr>
                <w:b/>
                <w:bCs/>
              </w:rPr>
              <w:t xml:space="preserve">Formula</w:t>
            </w:r>
          </w:p>
        </w:tc>
        <w:tc>
          <w:tcPr/>
          <w:p>
            <w:pPr>
              <w:pStyle w:val="Compact"/>
            </w:pPr>
            <w:r>
              <w:rPr>
                <w:rStyle w:val="VerbatimChar"/>
              </w:rPr>
              <w:t xml:space="preserve">total_cost_$ ÷ cooling_f</w:t>
            </w:r>
            <w:r>
              <w:t xml:space="preserve">, where</w:t>
            </w:r>
            <w:r>
              <w:t xml:space="preserve"> </w:t>
            </w:r>
            <w:r>
              <w:rPr>
                <w:rStyle w:val="VerbatimChar"/>
              </w:rPr>
              <w:t xml:space="preserve">cooling_f</w:t>
            </w:r>
            <w:r>
              <w:t xml:space="preserve"> </w:t>
            </w:r>
            <w:r>
              <w:t xml:space="preserve">is the °F delta (positive = cooler).</w:t>
            </w:r>
          </w:p>
        </w:tc>
      </w:tr>
      <w:tr>
        <w:tc>
          <w:tcPr/>
          <w:p>
            <w:pPr>
              <w:pStyle w:val="Compact"/>
            </w:pPr>
            <w:r>
              <w:rPr>
                <w:b/>
                <w:bCs/>
              </w:rPr>
              <w:t xml:space="preserve">Caveats</w:t>
            </w:r>
          </w:p>
        </w:tc>
        <w:tc>
          <w:tcPr/>
          <w:p>
            <w:pPr>
              <w:pStyle w:val="Compact"/>
            </w:pPr>
            <w:r>
              <w:t xml:space="preserve">N/A if the scenario is warmer than baseline. Inherits the ±2 °F uncertainty of the HM-to-temperature calibration.</w:t>
            </w:r>
          </w:p>
        </w:tc>
      </w:tr>
    </w:tbl>
    <w:p>
      <w:r>
        <w:pict>
          <v:rect style="width:0;height:1.5pt" o:hralign="center" o:hrstd="t" o:hr="t"/>
        </w:pict>
      </w:r>
    </w:p>
    <w:bookmarkEnd w:id="21"/>
    <w:bookmarkStart w:id="22" w:name="cost-1000-people-fed"/>
    <w:p>
      <w:pPr>
        <w:pStyle w:val="Heading3"/>
      </w:pPr>
      <w:r>
        <w:t xml:space="preserve">Cost / 1,000 People Fed</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Field</w:t>
            </w:r>
          </w:p>
        </w:tc>
        <w:tc>
          <w:tcPr/>
          <w:p>
            <w:pPr>
              <w:pStyle w:val="Compact"/>
            </w:pPr>
            <w:r>
              <w:t xml:space="preserve">Detail</w:t>
            </w:r>
          </w:p>
        </w:tc>
      </w:tr>
      <w:tr>
        <w:tc>
          <w:tcPr/>
          <w:p>
            <w:pPr>
              <w:pStyle w:val="Compact"/>
            </w:pPr>
            <w:r>
              <w:rPr>
                <w:b/>
                <w:bCs/>
              </w:rPr>
              <w:t xml:space="preserve">Represents</w:t>
            </w:r>
          </w:p>
        </w:tc>
        <w:tc>
          <w:tcPr/>
          <w:p>
            <w:pPr>
              <w:pStyle w:val="Compact"/>
            </w:pPr>
            <w:r>
              <w:t xml:space="preserve">Implementation dollars spent per 1,000 people whose annual food needs could be met by the scenario’s food forest yield.</w:t>
            </w:r>
          </w:p>
        </w:tc>
      </w:tr>
      <w:tr>
        <w:tc>
          <w:tcPr/>
          <w:p>
            <w:pPr>
              <w:pStyle w:val="Compact"/>
            </w:pPr>
            <w:r>
              <w:rPr>
                <w:b/>
                <w:bCs/>
              </w:rPr>
              <w:t xml:space="preserve">Formula</w:t>
            </w:r>
          </w:p>
        </w:tc>
        <w:tc>
          <w:tcPr/>
          <w:p>
            <w:pPr>
              <w:pStyle w:val="Compact"/>
            </w:pPr>
            <w:r>
              <w:rPr>
                <w:rStyle w:val="VerbatimChar"/>
              </w:rPr>
              <w:t xml:space="preserve">total_cost_$ ÷ (people_fed ÷ 1,000)</w:t>
            </w:r>
            <w:r>
              <w:t xml:space="preserve">.</w:t>
            </w:r>
          </w:p>
        </w:tc>
      </w:tr>
      <w:tr>
        <w:tc>
          <w:tcPr/>
          <w:p>
            <w:pPr>
              <w:pStyle w:val="Compact"/>
            </w:pPr>
            <w:r>
              <w:rPr>
                <w:b/>
                <w:bCs/>
              </w:rPr>
              <w:t xml:space="preserve">Caveats</w:t>
            </w:r>
          </w:p>
        </w:tc>
        <w:tc>
          <w:tcPr/>
          <w:p>
            <w:pPr>
              <w:pStyle w:val="Compact"/>
            </w:pPr>
            <w:r>
              <w:t xml:space="preserve">N/A if no food forest pixels are present. Inherits the food yield benchmark uncertainty.</w:t>
            </w:r>
          </w:p>
        </w:tc>
      </w:tr>
    </w:tbl>
    <w:p>
      <w:r>
        <w:pict>
          <v:rect style="width:0;height:1.5pt" o:hralign="center" o:hrstd="t" o:hr="t"/>
        </w:pict>
      </w:r>
    </w:p>
    <w:bookmarkEnd w:id="22"/>
    <w:bookmarkEnd w:id="23"/>
    <w:bookmarkStart w:id="24" w:name="scenario-summary-text"/>
    <w:p>
      <w:pPr>
        <w:pStyle w:val="Heading2"/>
      </w:pPr>
      <w:r>
        <w:t xml:space="preserve">Scenario Summary Text</w:t>
      </w:r>
    </w:p>
    <w:p>
      <w:pPr>
        <w:pStyle w:val="FirstParagraph"/>
      </w:pPr>
      <w:r>
        <w:t xml:space="preserve">A prose sentence rendered below the metric cards:</w:t>
      </w:r>
    </w:p>
    <w:p>
      <w:pPr>
        <w:pStyle w:val="BlockText"/>
      </w:pPr>
      <w:r>
        <w:rPr>
          <w:i/>
          <w:iCs/>
        </w:rPr>
        <w:t xml:space="preserve">“This scenario converts X% of developed land, allocating Y% to green infrastructure, Z% to food forest, and W% to high-density development, [using random placement / prioritizing hotter areas].”</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Field</w:t>
            </w:r>
          </w:p>
        </w:tc>
        <w:tc>
          <w:tcPr/>
          <w:p>
            <w:pPr>
              <w:pStyle w:val="Compact"/>
            </w:pPr>
            <w:r>
              <w:t xml:space="preserve">Detail</w:t>
            </w:r>
          </w:p>
        </w:tc>
      </w:tr>
      <w:tr>
        <w:tc>
          <w:tcPr/>
          <w:p>
            <w:pPr>
              <w:pStyle w:val="Compact"/>
            </w:pPr>
            <w:r>
              <w:rPr>
                <w:b/>
                <w:bCs/>
              </w:rPr>
              <w:t xml:space="preserve">Values</w:t>
            </w:r>
          </w:p>
        </w:tc>
        <w:tc>
          <w:tcPr/>
          <w:p>
            <w:pPr>
              <w:pStyle w:val="Compact"/>
            </w:pPr>
            <w:r>
              <w:t xml:space="preserve">Pulled directly from the current slider values (</w:t>
            </w:r>
            <w:r>
              <w:rPr>
                <w:rStyle w:val="VerbatimChar"/>
              </w:rPr>
              <w:t xml:space="preserve">pct_converted</w:t>
            </w:r>
            <w:r>
              <w:t xml:space="preserve">,</w:t>
            </w:r>
            <w:r>
              <w:t xml:space="preserve"> </w:t>
            </w:r>
            <w:r>
              <w:rPr>
                <w:rStyle w:val="VerbatimChar"/>
              </w:rPr>
              <w:t xml:space="preserve">green_infrastructure_pct</w:t>
            </w:r>
            <w:r>
              <w:t xml:space="preserve">,</w:t>
            </w:r>
            <w:r>
              <w:t xml:space="preserve"> </w:t>
            </w:r>
            <w:r>
              <w:rPr>
                <w:rStyle w:val="VerbatimChar"/>
              </w:rPr>
              <w:t xml:space="preserve">food_forest_pct</w:t>
            </w:r>
            <w:r>
              <w:t xml:space="preserve">,</w:t>
            </w:r>
            <w:r>
              <w:t xml:space="preserve"> </w:t>
            </w:r>
            <w:r>
              <w:rPr>
                <w:rStyle w:val="VerbatimChar"/>
              </w:rPr>
              <w:t xml:space="preserve">pct_highdensity</w:t>
            </w:r>
            <w:r>
              <w:t xml:space="preserve">).</w:t>
            </w:r>
          </w:p>
        </w:tc>
      </w:tr>
      <w:tr>
        <w:tc>
          <w:tcPr/>
          <w:p>
            <w:pPr>
              <w:pStyle w:val="Compact"/>
            </w:pPr>
            <w:r>
              <w:rPr>
                <w:b/>
                <w:bCs/>
              </w:rPr>
              <w:t xml:space="preserve">Placement mode</w:t>
            </w:r>
          </w:p>
        </w:tc>
        <w:tc>
          <w:tcPr/>
          <w:p>
            <w:pPr>
              <w:pStyle w:val="Compact"/>
            </w:pPr>
            <w:r>
              <w:t xml:space="preserve">“prioritizing hotter areas”</w:t>
            </w:r>
            <w:r>
              <w:t xml:space="preserve"> </w:t>
            </w:r>
            <w:r>
              <w:t xml:space="preserve">when the heat-priority toggle is on;</w:t>
            </w:r>
            <w:r>
              <w:t xml:space="preserve"> </w:t>
            </w:r>
            <w:r>
              <w:t xml:space="preserve">“using random placement”</w:t>
            </w:r>
            <w:r>
              <w:t xml:space="preserve"> </w:t>
            </w:r>
            <w:r>
              <w:t xml:space="preserve">otherwise.</w:t>
            </w:r>
          </w:p>
        </w:tc>
      </w:tr>
    </w:tbl>
    <w:p>
      <w:r>
        <w:pict>
          <v:rect style="width:0;height:1.5pt" o:hralign="center" o:hrstd="t" o:hr="t"/>
        </w:pict>
      </w:r>
    </w:p>
    <w:bookmarkEnd w:id="24"/>
    <w:bookmarkStart w:id="32" w:name="sidebar-controls"/>
    <w:p>
      <w:pPr>
        <w:pStyle w:val="Heading2"/>
      </w:pPr>
      <w:r>
        <w:t xml:space="preserve">Sidebar Controls</w:t>
      </w:r>
    </w:p>
    <w:bookmarkStart w:id="25" w:name="city"/>
    <w:p>
      <w:pPr>
        <w:pStyle w:val="Heading3"/>
      </w:pPr>
      <w:r>
        <w:t xml:space="preserve">City</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Field</w:t>
            </w:r>
          </w:p>
        </w:tc>
        <w:tc>
          <w:tcPr/>
          <w:p>
            <w:pPr>
              <w:pStyle w:val="Compact"/>
            </w:pPr>
            <w:r>
              <w:t xml:space="preserve">Detail</w:t>
            </w:r>
          </w:p>
        </w:tc>
      </w:tr>
      <w:tr>
        <w:tc>
          <w:tcPr/>
          <w:p>
            <w:pPr>
              <w:pStyle w:val="Compact"/>
            </w:pPr>
            <w:r>
              <w:rPr>
                <w:b/>
                <w:bCs/>
              </w:rPr>
              <w:t xml:space="preserve">Type</w:t>
            </w:r>
          </w:p>
        </w:tc>
        <w:tc>
          <w:tcPr/>
          <w:p>
            <w:pPr>
              <w:pStyle w:val="Compact"/>
            </w:pPr>
            <w:r>
              <w:t xml:space="preserve">Selectbox</w:t>
            </w:r>
          </w:p>
        </w:tc>
      </w:tr>
      <w:tr>
        <w:tc>
          <w:tcPr/>
          <w:p>
            <w:pPr>
              <w:pStyle w:val="Compact"/>
            </w:pPr>
            <w:r>
              <w:rPr>
                <w:b/>
                <w:bCs/>
              </w:rPr>
              <w:t xml:space="preserve">Options</w:t>
            </w:r>
          </w:p>
        </w:tc>
        <w:tc>
          <w:tcPr/>
          <w:p>
            <w:pPr>
              <w:pStyle w:val="Compact"/>
            </w:pPr>
            <w:r>
              <w:t xml:space="preserve">All keys from the</w:t>
            </w:r>
            <w:r>
              <w:t xml:space="preserve"> </w:t>
            </w:r>
            <w:r>
              <w:rPr>
                <w:rStyle w:val="VerbatimChar"/>
              </w:rPr>
              <w:t xml:space="preserve">CITIES</w:t>
            </w:r>
            <w:r>
              <w:t xml:space="preserve"> </w:t>
            </w:r>
            <w:r>
              <w:t xml:space="preserve">dict; unavailable cities are labelled</w:t>
            </w:r>
            <w:r>
              <w:t xml:space="preserve"> </w:t>
            </w:r>
            <w:r>
              <w:t xml:space="preserve">“(coming soon)”</w:t>
            </w:r>
            <w:r>
              <w:t xml:space="preserve">.</w:t>
            </w:r>
          </w:p>
        </w:tc>
      </w:tr>
      <w:tr>
        <w:tc>
          <w:tcPr/>
          <w:p>
            <w:pPr>
              <w:pStyle w:val="Compact"/>
            </w:pPr>
            <w:r>
              <w:rPr>
                <w:b/>
                <w:bCs/>
              </w:rPr>
              <w:t xml:space="preserve">Effect</w:t>
            </w:r>
          </w:p>
        </w:tc>
        <w:tc>
          <w:tcPr/>
          <w:p>
            <w:pPr>
              <w:pStyle w:val="Compact"/>
            </w:pPr>
            <w:r>
              <w:t xml:space="preserve">Selecting an unavailable city shows a warning and halts execution via</w:t>
            </w:r>
            <w:r>
              <w:t xml:space="preserve"> </w:t>
            </w:r>
            <w:r>
              <w:rPr>
                <w:rStyle w:val="VerbatimChar"/>
              </w:rPr>
              <w:t xml:space="preserve">st.stop()</w:t>
            </w:r>
            <w:r>
              <w:t xml:space="preserve">. Selecting an available city sets data paths and baseline constants for all downstream computation.</w:t>
            </w:r>
          </w:p>
        </w:tc>
      </w:tr>
    </w:tbl>
    <w:p>
      <w:r>
        <w:pict>
          <v:rect style="width:0;height:1.5pt" o:hralign="center" o:hrstd="t" o:hr="t"/>
        </w:pict>
      </w:r>
    </w:p>
    <w:bookmarkEnd w:id="25"/>
    <w:bookmarkStart w:id="26" w:name="of-developed-land-to-convert"/>
    <w:p>
      <w:pPr>
        <w:pStyle w:val="Heading3"/>
      </w:pPr>
      <w:r>
        <w:t xml:space="preserve">% of Developed Land to Convert</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Field</w:t>
            </w:r>
          </w:p>
        </w:tc>
        <w:tc>
          <w:tcPr/>
          <w:p>
            <w:pPr>
              <w:pStyle w:val="Compact"/>
            </w:pPr>
            <w:r>
              <w:t xml:space="preserve">Detail</w:t>
            </w:r>
          </w:p>
        </w:tc>
      </w:tr>
      <w:tr>
        <w:tc>
          <w:tcPr/>
          <w:p>
            <w:pPr>
              <w:pStyle w:val="Compact"/>
            </w:pPr>
            <w:r>
              <w:rPr>
                <w:b/>
                <w:bCs/>
              </w:rPr>
              <w:t xml:space="preserve">Type</w:t>
            </w:r>
          </w:p>
        </w:tc>
        <w:tc>
          <w:tcPr/>
          <w:p>
            <w:pPr>
              <w:pStyle w:val="Compact"/>
            </w:pPr>
            <w:r>
              <w:t xml:space="preserve">Slider, range 0–50, step 1</w:t>
            </w:r>
          </w:p>
        </w:tc>
      </w:tr>
      <w:tr>
        <w:tc>
          <w:tcPr/>
          <w:p>
            <w:pPr>
              <w:pStyle w:val="Compact"/>
            </w:pPr>
            <w:r>
              <w:rPr>
                <w:b/>
                <w:bCs/>
              </w:rPr>
              <w:t xml:space="preserve">Effect</w:t>
            </w:r>
          </w:p>
        </w:tc>
        <w:tc>
          <w:tcPr/>
          <w:p>
            <w:pPr>
              <w:pStyle w:val="Compact"/>
            </w:pPr>
            <w:r>
              <w:t xml:space="preserve">Determines how many developed pixels (NLCD 21/22/23) are randomly sampled for conversion. At 50%, half of all developed pixels are converted.</w:t>
            </w:r>
          </w:p>
        </w:tc>
      </w:tr>
      <w:tr>
        <w:tc>
          <w:tcPr/>
          <w:p>
            <w:pPr>
              <w:pStyle w:val="Compact"/>
            </w:pPr>
            <w:r>
              <w:rPr>
                <w:b/>
                <w:bCs/>
              </w:rPr>
              <w:t xml:space="preserve">Caveats</w:t>
            </w:r>
          </w:p>
        </w:tc>
        <w:tc>
          <w:tcPr/>
          <w:p>
            <w:pPr>
              <w:pStyle w:val="Compact"/>
            </w:pPr>
            <w:r>
              <w:t xml:space="preserve">Pixels are chosen randomly (or heat-priority weighted); spatial placement is not optimised for corridors or parcels.</w:t>
            </w:r>
          </w:p>
        </w:tc>
      </w:tr>
    </w:tbl>
    <w:p>
      <w:r>
        <w:pict>
          <v:rect style="width:0;height:1.5pt" o:hralign="center" o:hrstd="t" o:hr="t"/>
        </w:pict>
      </w:r>
    </w:p>
    <w:bookmarkEnd w:id="26"/>
    <w:bookmarkStart w:id="27" w:name="X9c690ec6fbca036e7a35955631a2d4edd57a06f"/>
    <w:p>
      <w:pPr>
        <w:pStyle w:val="Heading3"/>
      </w:pPr>
      <w:r>
        <w:t xml:space="preserve">Green Infrastructure % / Food Forest % / High Density %</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Field</w:t>
            </w:r>
          </w:p>
        </w:tc>
        <w:tc>
          <w:tcPr/>
          <w:p>
            <w:pPr>
              <w:pStyle w:val="Compact"/>
            </w:pPr>
            <w:r>
              <w:t xml:space="preserve">Detail</w:t>
            </w:r>
          </w:p>
        </w:tc>
      </w:tr>
      <w:tr>
        <w:tc>
          <w:tcPr/>
          <w:p>
            <w:pPr>
              <w:pStyle w:val="Compact"/>
            </w:pPr>
            <w:r>
              <w:rPr>
                <w:b/>
                <w:bCs/>
              </w:rPr>
              <w:t xml:space="preserve">Type</w:t>
            </w:r>
          </w:p>
        </w:tc>
        <w:tc>
          <w:tcPr/>
          <w:p>
            <w:pPr>
              <w:pStyle w:val="Compact"/>
            </w:pPr>
            <w:r>
              <w:t xml:space="preserve">Number inputs, range 0–100, step 5; must sum to exactly 100</w:t>
            </w:r>
          </w:p>
        </w:tc>
      </w:tr>
      <w:tr>
        <w:tc>
          <w:tcPr/>
          <w:p>
            <w:pPr>
              <w:pStyle w:val="Compact"/>
            </w:pPr>
            <w:r>
              <w:rPr>
                <w:b/>
                <w:bCs/>
              </w:rPr>
              <w:t xml:space="preserve">Effect</w:t>
            </w:r>
          </w:p>
        </w:tc>
        <w:tc>
          <w:tcPr/>
          <w:p>
            <w:pPr>
              <w:pStyle w:val="Compact"/>
            </w:pPr>
            <w:r>
              <w:t xml:space="preserve">Splits the converted pixels into three groups. Green Infrastructure → NLCD 90 (woody wetlands). Food Forest → NLCD 41 (deciduous forest proxy). High Density → NLCD 24 (developed, high intensity).</w:t>
            </w:r>
          </w:p>
        </w:tc>
      </w:tr>
      <w:tr>
        <w:tc>
          <w:tcPr/>
          <w:p>
            <w:pPr>
              <w:pStyle w:val="Compact"/>
            </w:pPr>
            <w:r>
              <w:rPr>
                <w:b/>
                <w:bCs/>
              </w:rPr>
              <w:t xml:space="preserve">Caveats</w:t>
            </w:r>
          </w:p>
        </w:tc>
        <w:tc>
          <w:tcPr/>
          <w:p>
            <w:pPr>
              <w:pStyle w:val="Compact"/>
            </w:pPr>
            <w:r>
              <w:t xml:space="preserve">High Density auto-fills as the remainder but can be manually overridden. The app shows a warning and stops if the three values do not sum to 100.</w:t>
            </w:r>
          </w:p>
        </w:tc>
      </w:tr>
    </w:tbl>
    <w:p>
      <w:r>
        <w:pict>
          <v:rect style="width:0;height:1.5pt" o:hralign="center" o:hrstd="t" o:hr="t"/>
        </w:pict>
      </w:r>
    </w:p>
    <w:bookmarkEnd w:id="27"/>
    <w:bookmarkStart w:id="28" w:name="Xa0b34da926ebfe8585122643f01550a5a50a048"/>
    <w:p>
      <w:pPr>
        <w:pStyle w:val="Heading3"/>
      </w:pPr>
      <w:r>
        <w:t xml:space="preserve">Green Infrastructure (</w:t>
      </w:r>
      <m:oMath>
        <m:r>
          <m:rPr>
            <m:sty m:val="p"/>
          </m:rPr>
          <m:t>/</m:t>
        </m:r>
        <m:r>
          <m:t>a</m:t>
        </m:r>
        <m:r>
          <m:t>c</m:t>
        </m:r>
        <m:r>
          <m:t>r</m:t>
        </m:r>
        <m:r>
          <m:t>e</m:t>
        </m:r>
        <m:r>
          <m:rPr>
            <m:sty m:val="p"/>
          </m:rPr>
          <m:t>)</m:t>
        </m:r>
        <m:r>
          <m:rPr>
            <m:sty m:val="p"/>
          </m:rPr>
          <m:t>/</m:t>
        </m:r>
        <m:r>
          <m:t>F</m:t>
        </m:r>
        <m:r>
          <m:t>o</m:t>
        </m:r>
        <m:r>
          <m:t>o</m:t>
        </m:r>
        <m:r>
          <m:t>d</m:t>
        </m:r>
        <m:r>
          <m:t>F</m:t>
        </m:r>
        <m:r>
          <m:t>o</m:t>
        </m:r>
        <m:r>
          <m:t>r</m:t>
        </m:r>
        <m:r>
          <m:t>e</m:t>
        </m:r>
        <m:r>
          <m:t>s</m:t>
        </m:r>
        <m:r>
          <m:t>t</m:t>
        </m:r>
        <m:r>
          <m:rPr>
            <m:sty m:val="p"/>
          </m:rPr>
          <m:t>(</m:t>
        </m:r>
      </m:oMath>
      <w:r>
        <w:t xml:space="preserve">/acre) / High Density Infill ($/acre)</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Field</w:t>
            </w:r>
          </w:p>
        </w:tc>
        <w:tc>
          <w:tcPr/>
          <w:p>
            <w:pPr>
              <w:pStyle w:val="Compact"/>
            </w:pPr>
            <w:r>
              <w:t xml:space="preserve">Detail</w:t>
            </w:r>
          </w:p>
        </w:tc>
      </w:tr>
      <w:tr>
        <w:tc>
          <w:tcPr/>
          <w:p>
            <w:pPr>
              <w:pStyle w:val="Compact"/>
            </w:pPr>
            <w:r>
              <w:rPr>
                <w:b/>
                <w:bCs/>
              </w:rPr>
              <w:t xml:space="preserve">Type</w:t>
            </w:r>
          </w:p>
        </w:tc>
        <w:tc>
          <w:tcPr/>
          <w:p>
            <w:pPr>
              <w:pStyle w:val="Compact"/>
            </w:pPr>
            <w:r>
              <w:t xml:space="preserve">Sliders; GI $5k–$150k (default $50k), FF $1k–$50k (default $10k), HD $1k–$50k (default $5k)</w:t>
            </w:r>
          </w:p>
        </w:tc>
      </w:tr>
      <w:tr>
        <w:tc>
          <w:tcPr/>
          <w:p>
            <w:pPr>
              <w:pStyle w:val="Compact"/>
            </w:pPr>
            <w:r>
              <w:rPr>
                <w:b/>
                <w:bCs/>
              </w:rPr>
              <w:t xml:space="preserve">Effect</w:t>
            </w:r>
          </w:p>
        </w:tc>
        <w:tc>
          <w:tcPr/>
          <w:p>
            <w:pPr>
              <w:pStyle w:val="Compact"/>
            </w:pPr>
            <w:r>
              <w:t xml:space="preserve">Scales the implementation cost calculation. Does not affect ecological outcomes (CN, HM, food).</w:t>
            </w:r>
          </w:p>
        </w:tc>
      </w:tr>
      <w:tr>
        <w:tc>
          <w:tcPr/>
          <w:p>
            <w:pPr>
              <w:pStyle w:val="Compact"/>
            </w:pPr>
            <w:r>
              <w:rPr>
                <w:b/>
                <w:bCs/>
              </w:rPr>
              <w:t xml:space="preserve">Caveats</w:t>
            </w:r>
          </w:p>
        </w:tc>
        <w:tc>
          <w:tcPr/>
          <w:p>
            <w:pPr>
              <w:pStyle w:val="Compact"/>
            </w:pPr>
            <w:r>
              <w:t xml:space="preserve">The lookup table is pre-computed at default costs; cost is recomputed from pixel counts and current slider values on every interaction.</w:t>
            </w:r>
          </w:p>
        </w:tc>
      </w:tr>
    </w:tbl>
    <w:p>
      <w:r>
        <w:pict>
          <v:rect style="width:0;height:1.5pt" o:hralign="center" o:hrstd="t" o:hr="t"/>
        </w:pict>
      </w:r>
    </w:p>
    <w:bookmarkEnd w:id="28"/>
    <w:bookmarkStart w:id="29" w:name="target-high-heat-exposure-areas-toggle"/>
    <w:p>
      <w:pPr>
        <w:pStyle w:val="Heading3"/>
      </w:pPr>
      <w:r>
        <w:t xml:space="preserve">Target High Heat-Exposure Areas (toggle)</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Field</w:t>
            </w:r>
          </w:p>
        </w:tc>
        <w:tc>
          <w:tcPr/>
          <w:p>
            <w:pPr>
              <w:pStyle w:val="Compact"/>
            </w:pPr>
            <w:r>
              <w:t xml:space="preserve">Detail</w:t>
            </w:r>
          </w:p>
        </w:tc>
      </w:tr>
      <w:tr>
        <w:tc>
          <w:tcPr/>
          <w:p>
            <w:pPr>
              <w:pStyle w:val="Compact"/>
            </w:pPr>
            <w:r>
              <w:rPr>
                <w:b/>
                <w:bCs/>
              </w:rPr>
              <w:t xml:space="preserve">Type</w:t>
            </w:r>
          </w:p>
        </w:tc>
        <w:tc>
          <w:tcPr/>
          <w:p>
            <w:pPr>
              <w:pStyle w:val="Compact"/>
            </w:pPr>
            <w:r>
              <w:t xml:space="preserve">Toggle, default off; under subheader</w:t>
            </w:r>
            <w:r>
              <w:t xml:space="preserve"> </w:t>
            </w:r>
            <w:r>
              <w:t xml:space="preserve">“Spatial Priority”</w:t>
            </w:r>
          </w:p>
        </w:tc>
      </w:tr>
      <w:tr>
        <w:tc>
          <w:tcPr/>
          <w:p>
            <w:pPr>
              <w:pStyle w:val="Compact"/>
            </w:pPr>
            <w:r>
              <w:rPr>
                <w:b/>
                <w:bCs/>
              </w:rPr>
              <w:t xml:space="preserve">Effect</w:t>
            </w:r>
          </w:p>
        </w:tc>
        <w:tc>
          <w:tcPr/>
          <w:p>
            <w:pPr>
              <w:pStyle w:val="Compact"/>
            </w:pPr>
            <w:r>
              <w:t xml:space="preserve">When on, converted pixels are sampled with probability weights: NLCD 23 → 1.0, NLCD 22 → 0.6, NLCD 21 → 0.3. Concentrates interventions in higher-intensity developed areas. Negative or NaN weights are clamped to 0 before normalisation.</w:t>
            </w:r>
          </w:p>
        </w:tc>
      </w:tr>
      <w:tr>
        <w:tc>
          <w:tcPr/>
          <w:p>
            <w:pPr>
              <w:pStyle w:val="Compact"/>
            </w:pPr>
            <w:r>
              <w:rPr>
                <w:b/>
                <w:bCs/>
              </w:rPr>
              <w:t xml:space="preserve">Caveats</w:t>
            </w:r>
          </w:p>
        </w:tc>
        <w:tc>
          <w:tcPr/>
          <w:p>
            <w:pPr>
              <w:pStyle w:val="Compact"/>
            </w:pPr>
            <w:r>
              <w:t xml:space="preserve">This is a development-intensity proxy (used as a heat-exposure approximation), not a measured temperature or socioeconomic vulnerability index. It approximates relative heat exposure but does not capture microclimate variation or population vulnerability. The lookup table (which uses uniform random placement) is bypassed in this mode; scenarios are computed live. Intended as a placeholder until CDC/ATSDR HVI data is integrated.</w:t>
            </w:r>
          </w:p>
        </w:tc>
      </w:tr>
    </w:tbl>
    <w:p>
      <w:r>
        <w:pict>
          <v:rect style="width:0;height:1.5pt" o:hralign="center" o:hrstd="t" o:hr="t"/>
        </w:pict>
      </w:r>
    </w:p>
    <w:bookmarkEnd w:id="29"/>
    <w:bookmarkStart w:id="30" w:name="example-scenario-buttons"/>
    <w:p>
      <w:pPr>
        <w:pStyle w:val="Heading3"/>
      </w:pPr>
      <w:r>
        <w:t xml:space="preserve">Example Scenario Buttons</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Button</w:t>
            </w:r>
          </w:p>
        </w:tc>
        <w:tc>
          <w:tcPr/>
          <w:p>
            <w:pPr>
              <w:pStyle w:val="Compact"/>
            </w:pPr>
            <w:r>
              <w:t xml:space="preserve">Sets</w:t>
            </w:r>
          </w:p>
        </w:tc>
      </w:tr>
      <w:tr>
        <w:tc>
          <w:tcPr/>
          <w:p>
            <w:pPr>
              <w:pStyle w:val="Compact"/>
            </w:pPr>
            <w:r>
              <w:t xml:space="preserve">🌳 Food Forest (Cooling + Food Focus)</w:t>
            </w:r>
          </w:p>
        </w:tc>
        <w:tc>
          <w:tcPr/>
          <w:p>
            <w:pPr>
              <w:pStyle w:val="Compact"/>
            </w:pPr>
            <w:r>
              <w:t xml:space="preserve">10% converted, 100% food forest</w:t>
            </w:r>
          </w:p>
        </w:tc>
      </w:tr>
      <w:tr>
        <w:tc>
          <w:tcPr/>
          <w:p>
            <w:pPr>
              <w:pStyle w:val="Compact"/>
            </w:pPr>
            <w:r>
              <w:t xml:space="preserve">🌊 Green Infrastructure (Flood Mitigation)</w:t>
            </w:r>
          </w:p>
        </w:tc>
        <w:tc>
          <w:tcPr/>
          <w:p>
            <w:pPr>
              <w:pStyle w:val="Compact"/>
            </w:pPr>
            <w:r>
              <w:t xml:space="preserve">10% converted, 100% green infrastructure</w:t>
            </w:r>
          </w:p>
        </w:tc>
      </w:tr>
      <w:tr>
        <w:tc>
          <w:tcPr/>
          <w:p>
            <w:pPr>
              <w:pStyle w:val="Compact"/>
            </w:pPr>
            <w:r>
              <w:t xml:space="preserve">🏙️ High Density Development</w:t>
            </w:r>
          </w:p>
        </w:tc>
        <w:tc>
          <w:tcPr/>
          <w:p>
            <w:pPr>
              <w:pStyle w:val="Compact"/>
            </w:pPr>
            <w:r>
              <w:t xml:space="preserve">10% converted, 100% high density</w:t>
            </w:r>
          </w:p>
        </w:tc>
      </w:tr>
    </w:tbl>
    <w:p>
      <w:pPr>
        <w:pStyle w:val="BodyText"/>
      </w:pPr>
      <w:r>
        <w:t xml:space="preserve">Buttons work by writing to</w:t>
      </w:r>
      <w:r>
        <w:t xml:space="preserve"> </w:t>
      </w:r>
      <w:r>
        <w:rPr>
          <w:rStyle w:val="VerbatimChar"/>
        </w:rPr>
        <w:t xml:space="preserve">st.session_state</w:t>
      </w:r>
      <w:r>
        <w:t xml:space="preserve"> </w:t>
      </w:r>
      <w:r>
        <w:t xml:space="preserve">and calling</w:t>
      </w:r>
      <w:r>
        <w:t xml:space="preserve"> </w:t>
      </w:r>
      <w:r>
        <w:rPr>
          <w:rStyle w:val="VerbatimChar"/>
        </w:rPr>
        <w:t xml:space="preserve">st.rerun()</w:t>
      </w:r>
      <w:r>
        <w:t xml:space="preserve">.</w:t>
      </w:r>
    </w:p>
    <w:p>
      <w:r>
        <w:pict>
          <v:rect style="width:0;height:1.5pt" o:hralign="center" o:hrstd="t" o:hr="t"/>
        </w:pict>
      </w:r>
    </w:p>
    <w:bookmarkEnd w:id="30"/>
    <w:bookmarkStart w:id="31" w:name="smart-scenario-search-surrogate-model"/>
    <w:p>
      <w:pPr>
        <w:pStyle w:val="Heading3"/>
      </w:pPr>
      <w:r>
        <w:t xml:space="preserve">Smart Scenario Search (Surrogate Model)</w:t>
      </w:r>
    </w:p>
    <w:tbl>
      <w:tblPr>
        <w:tblStyle w:val="Table"/>
        <w:tblW w:type="pct" w:w="5000"/>
        <w:tblLayout w:type="fixed"/>
        <w:tblLook w:firstRow="1" w:lastRow="0" w:firstColumn="0" w:lastColumn="0" w:noHBand="0" w:noVBand="0" w:val="0020"/>
      </w:tblPr>
      <w:tblGrid>
        <w:gridCol w:w="4192"/>
        <w:gridCol w:w="3727"/>
      </w:tblGrid>
      <w:tr>
        <w:trPr>
          <w:tblHeader w:val="on"/>
        </w:trPr>
        <w:tc>
          <w:tcPr/>
          <w:p>
            <w:pPr>
              <w:pStyle w:val="Compact"/>
            </w:pPr>
            <w:r>
              <w:t xml:space="preserve">Control</w:t>
            </w:r>
          </w:p>
        </w:tc>
        <w:tc>
          <w:tcPr/>
          <w:p>
            <w:pPr>
              <w:pStyle w:val="Compact"/>
            </w:pPr>
            <w:r>
              <w:t xml:space="preserve">Detail</w:t>
            </w:r>
          </w:p>
        </w:tc>
      </w:tr>
      <w:tr>
        <w:tc>
          <w:tcPr/>
          <w:p>
            <w:pPr>
              <w:pStyle w:val="Compact"/>
            </w:pPr>
            <w:r>
              <w:rPr>
                <w:b/>
                <w:bCs/>
              </w:rPr>
              <w:t xml:space="preserve">Min flood reduction</w:t>
            </w:r>
          </w:p>
        </w:tc>
        <w:tc>
          <w:tcPr/>
          <w:p>
            <w:pPr>
              <w:pStyle w:val="Compact"/>
            </w:pPr>
            <w:r>
              <w:t xml:space="preserve">Slider 0–90, step 5. Minimum acceptable Flood Risk Reduction index.</w:t>
            </w:r>
          </w:p>
        </w:tc>
      </w:tr>
      <w:tr>
        <w:tc>
          <w:tcPr/>
          <w:p>
            <w:pPr>
              <w:pStyle w:val="Compact"/>
            </w:pPr>
            <w:r>
              <w:rPr>
                <w:b/>
                <w:bCs/>
              </w:rPr>
              <w:t xml:space="preserve">Min cooling (°F vs baseline)</w:t>
            </w:r>
          </w:p>
        </w:tc>
        <w:tc>
          <w:tcPr/>
          <w:p>
            <w:pPr>
              <w:pStyle w:val="Compact"/>
            </w:pPr>
            <w:r>
              <w:t xml:space="preserve">Slider −1.0 to ~3.0°F, step 0.1, default 0.1°F. Minimum acceptable temperature improvement vs baseline. Converted to HM units internally via</w:t>
            </w:r>
            <w:r>
              <w:t xml:space="preserve"> </w:t>
            </w:r>
            <w:r>
              <w:rPr>
                <w:rStyle w:val="VerbatimChar"/>
              </w:rPr>
              <w:t xml:space="preserve">BASELINE_HM + min_cool_f / 4.0</w:t>
            </w:r>
            <w:r>
              <w:t xml:space="preserve"> </w:t>
            </w:r>
            <w:r>
              <w:t xml:space="preserve">before being passed to the surrogate. Note: HM 0.30 ≈ 0.1°F cooler than baseline.</w:t>
            </w:r>
          </w:p>
        </w:tc>
      </w:tr>
      <w:tr>
        <w:tc>
          <w:tcPr/>
          <w:p>
            <w:pPr>
              <w:pStyle w:val="Compact"/>
            </w:pPr>
            <w:r>
              <w:rPr>
                <w:b/>
                <w:bCs/>
              </w:rPr>
              <w:t xml:space="preserve">Min food production (M lbs)</w:t>
            </w:r>
          </w:p>
        </w:tc>
        <w:tc>
          <w:tcPr/>
          <w:p>
            <w:pPr>
              <w:pStyle w:val="Compact"/>
            </w:pPr>
            <w:r>
              <w:t xml:space="preserve">Slider 0.0–MAX_FOOD, step 0.01. Minimum acceptable food production.</w:t>
            </w:r>
          </w:p>
        </w:tc>
      </w:tr>
      <w:tr>
        <w:tc>
          <w:tcPr/>
          <w:p>
            <w:pPr>
              <w:pStyle w:val="Compact"/>
            </w:pPr>
            <w:r>
              <w:rPr>
                <w:b/>
                <w:bCs/>
              </w:rPr>
              <w:t xml:space="preserve">Optimize button</w:t>
            </w:r>
          </w:p>
        </w:tc>
        <w:tc>
          <w:tcPr/>
          <w:p>
            <w:pPr>
              <w:pStyle w:val="Compact"/>
            </w:pPr>
            <w:r>
              <w:t xml:space="preserve">Samples ~10,000 random (pct, GI%, FF%) combinations, predicts outcomes with the RF surrogate, filters to those meeting all three minimums, computes the Pareto front, de-duplicates near-identical points, and returns up to 5 top suggestions ranked by a balanced score:</w:t>
            </w:r>
            <w:r>
              <w:t xml:space="preserve"> </w:t>
            </w:r>
            <w:r>
              <w:rPr>
                <w:rStyle w:val="VerbatimChar"/>
              </w:rPr>
              <w:t xml:space="preserve">flood/100 + HM/1.1 + food/MAX_FOOD</w:t>
            </w:r>
            <w:r>
              <w:t xml:space="preserve">.</w:t>
            </w:r>
          </w:p>
        </w:tc>
      </w:tr>
    </w:tbl>
    <w:p>
      <w:pPr>
        <w:pStyle w:val="BodyText"/>
      </w:pPr>
      <w:r>
        <w:rPr>
          <w:b/>
          <w:bCs/>
        </w:rPr>
        <w:t xml:space="preserve">Why use a Surrogate? (The Speed Factor)</w:t>
      </w:r>
      <w:r>
        <w:t xml:space="preserve"> </w:t>
      </w:r>
      <w:r>
        <w:t xml:space="preserve">The full biophysical model examines every pixel in the city to calculate runoff and cooling. While accurate, this is too slow for real-time exploration. The surrogate is a fast-response approximation trained on 150 full simulations, learning the underlying patterns well enough to predict outcomes for 10,000 candidate scenarios in under a second — enabling real-time scenario search.</w:t>
      </w:r>
    </w:p>
    <w:p>
      <w:pPr>
        <w:pStyle w:val="BodyText"/>
      </w:pPr>
      <w:r>
        <w:rPr>
          <w:b/>
          <w:bCs/>
        </w:rPr>
        <w:t xml:space="preserve">How it thinks (Pattern Recognition)</w:t>
      </w:r>
      <w:r>
        <w:t xml:space="preserve"> </w:t>
      </w:r>
      <w:r>
        <w:t xml:space="preserve">The surrogate uses a Random Forest — an ensemble of 100 decision trees, each acting like an independent expert advisor. Each advisor examines your slider settings and makes a prediction based on patterns it observed during training.</w:t>
      </w:r>
    </w:p>
    <w:p>
      <w:pPr>
        <w:pStyle w:val="Compact"/>
        <w:numPr>
          <w:ilvl w:val="0"/>
          <w:numId w:val="1001"/>
        </w:numPr>
      </w:pPr>
      <w:r>
        <w:rPr>
          <w:b/>
          <w:bCs/>
        </w:rPr>
        <w:t xml:space="preserve">The Prediction:</w:t>
      </w:r>
      <w:r>
        <w:t xml:space="preserve"> </w:t>
      </w:r>
      <w:r>
        <w:t xml:space="preserve">The average across all 100 advisors.</w:t>
      </w:r>
    </w:p>
    <w:p>
      <w:pPr>
        <w:pStyle w:val="Compact"/>
        <w:numPr>
          <w:ilvl w:val="0"/>
          <w:numId w:val="1001"/>
        </w:numPr>
      </w:pPr>
      <w:r>
        <w:rPr>
          <w:b/>
          <w:bCs/>
        </w:rPr>
        <w:t xml:space="preserve">The Uncertainty (Error Bars):</w:t>
      </w:r>
      <w:r>
        <w:t xml:space="preserve"> </w:t>
      </w:r>
      <w:r>
        <w:t xml:space="preserve">When all 100 advisors agree, error bars are small. When they disagree significantly, error bars grow — signalling that the model is extrapolating into territory it has seen little of during training.</w:t>
      </w:r>
    </w:p>
    <w:p>
      <w:pPr>
        <w:pStyle w:val="FirstParagraph"/>
      </w:pPr>
      <w:r>
        <w:rPr>
          <w:b/>
          <w:bCs/>
        </w:rPr>
        <w:t xml:space="preserve">How to read the Optimizer results</w:t>
      </w:r>
      <w:r>
        <w:t xml:space="preserve"> </w:t>
      </w:r>
      <w:r>
        <w:t xml:space="preserve">-</w:t>
      </w:r>
      <w:r>
        <w:t xml:space="preserve"> </w:t>
      </w:r>
      <w:r>
        <w:rPr>
          <w:b/>
          <w:bCs/>
        </w:rPr>
        <w:t xml:space="preserve">The Diamonds:</w:t>
      </w:r>
      <w:r>
        <w:t xml:space="preserve"> </w:t>
      </w:r>
      <w:r>
        <w:t xml:space="preserve">The most likely outcome predicted by the surrogate for each suggested scenario.</w:t>
      </w:r>
      <w:r>
        <w:t xml:space="preserve"> </w:t>
      </w:r>
      <w:r>
        <w:t xml:space="preserve">-</w:t>
      </w:r>
      <w:r>
        <w:t xml:space="preserve"> </w:t>
      </w:r>
      <w:r>
        <w:rPr>
          <w:b/>
          <w:bCs/>
        </w:rPr>
        <w:t xml:space="preserve">The Whisker Bars:</w:t>
      </w:r>
      <w:r>
        <w:t xml:space="preserve"> </w:t>
      </w:r>
      <w:r>
        <w:t xml:space="preserve">Confidence Range: the spread of predictions from the model’s internal advisors. A wider bar means the model is less certain about that specific outcome. If a diamond appears to meet your minimum goals but its whiskers cross the threshold line, there is a meaningful chance that scenario could underperform in a full simulation.</w:t>
      </w:r>
      <w:r>
        <w:t xml:space="preserve"> </w:t>
      </w:r>
      <w:r>
        <w:t xml:space="preserve">-</w:t>
      </w:r>
      <w:r>
        <w:t xml:space="preserve"> </w:t>
      </w:r>
      <w:r>
        <w:rPr>
          <w:b/>
          <w:bCs/>
        </w:rPr>
        <w:t xml:space="preserve">Key caveat:</w:t>
      </w:r>
      <w:r>
        <w:t xml:space="preserve"> </w:t>
      </w:r>
      <w:r>
        <w:t xml:space="preserve">The optimizer is intended to identify promising regions of the scenario space rather than a single globally optimal solution. Always verify suggestions using the main sliders.</w:t>
      </w:r>
      <w:r>
        <w:t xml:space="preserve"> </w:t>
      </w:r>
      <w:r>
        <w:t xml:space="preserve">-</w:t>
      </w:r>
      <w:r>
        <w:t xml:space="preserve"> </w:t>
      </w:r>
      <w:r>
        <w:rPr>
          <w:b/>
          <w:bCs/>
        </w:rPr>
        <w:t xml:space="preserve">When to Verify:</w:t>
      </w:r>
      <w:r>
        <w:t xml:space="preserve"> </w:t>
      </w:r>
      <w:r>
        <w:t xml:space="preserve">Once you find a promising scenario in the optimizer, manually set the main sliders to those exact values. This runs the full pixel-by-pixel biophysical calculation — not the surrogate approximation — and gives you the final, non-approximated numbers for flood reduction, cooling, and food production.</w:t>
      </w:r>
    </w:p>
    <w:p>
      <w:r>
        <w:pict>
          <v:rect style="width:0;height:1.5pt" o:hralign="center" o:hrstd="t" o:hr="t"/>
        </w:pict>
      </w:r>
    </w:p>
    <w:bookmarkEnd w:id="31"/>
    <w:bookmarkEnd w:id="32"/>
    <w:bookmarkStart w:id="41" w:name="tradeoff-chart-tradeoff-analysis-tab"/>
    <w:p>
      <w:pPr>
        <w:pStyle w:val="Heading2"/>
      </w:pPr>
      <w:r>
        <w:t xml:space="preserve">Tradeoff Chart (Tradeoff Analysis tab)</w:t>
      </w:r>
    </w:p>
    <w:p>
      <w:pPr>
        <w:pStyle w:val="FirstParagraph"/>
      </w:pPr>
      <w:r>
        <w:t xml:space="preserve">Built with Plotly. X and Y axes show the two primary ecological metrics; bubble size encodes food production for saved and optimised scenarios only.</w:t>
      </w:r>
    </w:p>
    <w:bookmarkStart w:id="33" w:name="axes"/>
    <w:p>
      <w:pPr>
        <w:pStyle w:val="Heading3"/>
      </w:pPr>
      <w:r>
        <w:t xml:space="preserve">Axes</w:t>
      </w:r>
    </w:p>
    <w:tbl>
      <w:tblPr>
        <w:tblStyle w:val="Table"/>
        <w:tblW w:type="pct" w:w="5000"/>
        <w:tblLayout w:type="fixed"/>
        <w:tblLook w:firstRow="1" w:lastRow="0" w:firstColumn="0" w:lastColumn="0" w:noHBand="0" w:noVBand="0" w:val="0020"/>
      </w:tblPr>
      <w:tblGrid>
        <w:gridCol w:w="4192"/>
        <w:gridCol w:w="3727"/>
      </w:tblGrid>
      <w:tr>
        <w:trPr>
          <w:tblHeader w:val="on"/>
        </w:trPr>
        <w:tc>
          <w:tcPr/>
          <w:p>
            <w:pPr>
              <w:pStyle w:val="Compact"/>
            </w:pPr>
            <w:r>
              <w:t xml:space="preserve">Element</w:t>
            </w:r>
          </w:p>
        </w:tc>
        <w:tc>
          <w:tcPr/>
          <w:p>
            <w:pPr>
              <w:pStyle w:val="Compact"/>
            </w:pPr>
            <w:r>
              <w:t xml:space="preserve">Detail</w:t>
            </w:r>
          </w:p>
        </w:tc>
      </w:tr>
      <w:tr>
        <w:tc>
          <w:tcPr/>
          <w:p>
            <w:pPr>
              <w:pStyle w:val="Compact"/>
            </w:pPr>
            <w:r>
              <w:rPr>
                <w:b/>
                <w:bCs/>
              </w:rPr>
              <w:t xml:space="preserve">X-axis: Flood Risk Reduction</w:t>
            </w:r>
          </w:p>
        </w:tc>
        <w:tc>
          <w:tcPr/>
          <w:p>
            <w:pPr>
              <w:pStyle w:val="Compact"/>
            </w:pPr>
            <w:r>
              <w:rPr>
                <w:rStyle w:val="VerbatimChar"/>
              </w:rPr>
              <w:t xml:space="preserve">100 − mean_CN</w:t>
            </w:r>
            <w:r>
              <w:t xml:space="preserve">. Range fixed 0–100. Higher = better.</w:t>
            </w:r>
          </w:p>
        </w:tc>
      </w:tr>
      <w:tr>
        <w:tc>
          <w:tcPr/>
          <w:p>
            <w:pPr>
              <w:pStyle w:val="Compact"/>
            </w:pPr>
            <w:r>
              <w:rPr>
                <w:b/>
                <w:bCs/>
              </w:rPr>
              <w:t xml:space="preserve">Y-axis: Heat Mitigation Index</w:t>
            </w:r>
          </w:p>
        </w:tc>
        <w:tc>
          <w:tcPr/>
          <w:p>
            <w:pPr>
              <w:pStyle w:val="Compact"/>
            </w:pPr>
            <w:r>
              <w:t xml:space="preserve">Mean HM across all pixels. Range fixed 0–1.1. Higher = better (more cooling potential). Note: this is the raw HM value, not the °F delta shown in the metric card.</w:t>
            </w:r>
          </w:p>
        </w:tc>
      </w:tr>
    </w:tbl>
    <w:p>
      <w:r>
        <w:pict>
          <v:rect style="width:0;height:1.5pt" o:hralign="center" o:hrstd="t" o:hr="t"/>
        </w:pict>
      </w:r>
    </w:p>
    <w:bookmarkEnd w:id="33"/>
    <w:bookmarkStart w:id="34" w:name="reference-benchmarks-coloured-markers"/>
    <w:p>
      <w:pPr>
        <w:pStyle w:val="Heading3"/>
      </w:pPr>
      <w:r>
        <w:t xml:space="preserve">Reference Benchmarks (coloured markers)</w:t>
      </w:r>
    </w:p>
    <w:p>
      <w:pPr>
        <w:pStyle w:val="FirstParagraph"/>
      </w:pPr>
      <w:r>
        <w:t xml:space="preserve">Four fixed points representing extreme all-one-landcover scenarios for Minneapolis. Stored in</w:t>
      </w:r>
      <w:r>
        <w:t xml:space="preserve"> </w:t>
      </w:r>
      <w:r>
        <w:rPr>
          <w:rStyle w:val="VerbatimChar"/>
        </w:rPr>
        <w:t xml:space="preserve">city_cfg['ref_scenarios']</w:t>
      </w:r>
      <w:r>
        <w:t xml:space="preserve"> </w:t>
      </w:r>
      <w:r>
        <w:t xml:space="preserve">and set as</w:t>
      </w:r>
      <w:r>
        <w:t xml:space="preserve"> </w:t>
      </w:r>
      <w:r>
        <w:rPr>
          <w:rStyle w:val="VerbatimChar"/>
        </w:rPr>
        <w:t xml:space="preserve">REF_SCENARIOS</w:t>
      </w:r>
      <w:r>
        <w:t xml:space="preserve"> </w:t>
      </w:r>
      <w:r>
        <w:t xml:space="preserve">at runtime.</w:t>
      </w:r>
      <w:r>
        <w:t xml:space="preserve"> </w:t>
      </w:r>
      <w:r>
        <w:rPr>
          <w:b/>
          <w:bCs/>
        </w:rPr>
        <w:t xml:space="preserve">These values are specific to Minneapolis 2021 NLCD data and will differ for other cities</w:t>
      </w:r>
      <w:r>
        <w:t xml:space="preserve"> </w:t>
      </w:r>
      <w:r>
        <w:t xml:space="preserve">— each city added to the</w:t>
      </w:r>
      <w:r>
        <w:t xml:space="preserve"> </w:t>
      </w:r>
      <w:r>
        <w:rPr>
          <w:rStyle w:val="VerbatimChar"/>
        </w:rPr>
        <w:t xml:space="preserve">CITIES</w:t>
      </w:r>
      <w:r>
        <w:t xml:space="preserve"> </w:t>
      </w:r>
      <w:r>
        <w:t xml:space="preserve">dict must supply its own benchmark values.</w:t>
      </w:r>
    </w:p>
    <w:tbl>
      <w:tblPr>
        <w:tblStyle w:val="Table"/>
        <w:tblW w:type="pct" w:w="5000"/>
        <w:tblLayout w:type="fixed"/>
        <w:tblLook w:firstRow="1" w:lastRow="0" w:firstColumn="0" w:lastColumn="0" w:noHBand="0" w:noVBand="0" w:val="0020"/>
      </w:tblPr>
      <w:tblGrid>
        <w:gridCol w:w="2292"/>
        <w:gridCol w:w="1458"/>
        <w:gridCol w:w="833"/>
        <w:gridCol w:w="3334"/>
      </w:tblGrid>
      <w:tr>
        <w:trPr>
          <w:tblHeader w:val="on"/>
        </w:trPr>
        <w:tc>
          <w:tcPr/>
          <w:p>
            <w:pPr>
              <w:pStyle w:val="Compact"/>
            </w:pPr>
            <w:r>
              <w:t xml:space="preserve">Benchmark</w:t>
            </w:r>
          </w:p>
        </w:tc>
        <w:tc>
          <w:tcPr/>
          <w:p>
            <w:pPr>
              <w:pStyle w:val="Compact"/>
            </w:pPr>
            <w:r>
              <w:t xml:space="preserve">Flood</w:t>
            </w:r>
          </w:p>
        </w:tc>
        <w:tc>
          <w:tcPr/>
          <w:p>
            <w:pPr>
              <w:pStyle w:val="Compact"/>
            </w:pPr>
            <w:r>
              <w:t xml:space="preserve">HM</w:t>
            </w:r>
          </w:p>
        </w:tc>
        <w:tc>
          <w:tcPr/>
          <w:p>
            <w:pPr>
              <w:pStyle w:val="Compact"/>
            </w:pPr>
            <w:r>
              <w:t xml:space="preserve">Interpretation</w:t>
            </w:r>
          </w:p>
        </w:tc>
      </w:tr>
      <w:tr>
        <w:tc>
          <w:tcPr/>
          <w:p>
            <w:pPr>
              <w:pStyle w:val="Compact"/>
            </w:pPr>
            <w:r>
              <w:t xml:space="preserve">Baseline</w:t>
            </w:r>
          </w:p>
        </w:tc>
        <w:tc>
          <w:tcPr/>
          <w:p>
            <w:pPr>
              <w:pStyle w:val="Compact"/>
            </w:pPr>
            <w:r>
              <w:t xml:space="preserve">24.3</w:t>
            </w:r>
          </w:p>
        </w:tc>
        <w:tc>
          <w:tcPr/>
          <w:p>
            <w:pPr>
              <w:pStyle w:val="Compact"/>
            </w:pPr>
            <w:r>
              <w:t xml:space="preserve">0.2719</w:t>
            </w:r>
          </w:p>
        </w:tc>
        <w:tc>
          <w:tcPr/>
          <w:p>
            <w:pPr>
              <w:pStyle w:val="Compact"/>
            </w:pPr>
            <w:r>
              <w:t xml:space="preserve">Current unmodified land cover</w:t>
            </w:r>
          </w:p>
        </w:tc>
      </w:tr>
      <w:tr>
        <w:tc>
          <w:tcPr/>
          <w:p>
            <w:pPr>
              <w:pStyle w:val="Compact"/>
            </w:pPr>
            <w:r>
              <w:t xml:space="preserve">All Food Forest (NLCD 41)</w:t>
            </w:r>
          </w:p>
        </w:tc>
        <w:tc>
          <w:tcPr/>
          <w:p>
            <w:pPr>
              <w:pStyle w:val="Compact"/>
            </w:pPr>
            <w:r>
              <w:t xml:space="preserve">29.9</w:t>
            </w:r>
          </w:p>
        </w:tc>
        <w:tc>
          <w:tcPr/>
          <w:p>
            <w:pPr>
              <w:pStyle w:val="Compact"/>
            </w:pPr>
            <w:r>
              <w:t xml:space="preserve">0.8284</w:t>
            </w:r>
          </w:p>
        </w:tc>
        <w:tc>
          <w:tcPr/>
          <w:p>
            <w:pPr>
              <w:pStyle w:val="Compact"/>
            </w:pPr>
            <w:r>
              <w:t xml:space="preserve">Every developed pixel → deciduous forest</w:t>
            </w:r>
          </w:p>
        </w:tc>
      </w:tr>
      <w:tr>
        <w:tc>
          <w:tcPr/>
          <w:p>
            <w:pPr>
              <w:pStyle w:val="Compact"/>
            </w:pPr>
            <w:r>
              <w:t xml:space="preserve">All Green Infra (NLCD 90)</w:t>
            </w:r>
          </w:p>
        </w:tc>
        <w:tc>
          <w:tcPr/>
          <w:p>
            <w:pPr>
              <w:pStyle w:val="Compact"/>
            </w:pPr>
            <w:r>
              <w:t xml:space="preserve">83.0</w:t>
            </w:r>
          </w:p>
        </w:tc>
        <w:tc>
          <w:tcPr/>
          <w:p>
            <w:pPr>
              <w:pStyle w:val="Compact"/>
            </w:pPr>
            <w:r>
              <w:t xml:space="preserve">0.8633</w:t>
            </w:r>
          </w:p>
        </w:tc>
        <w:tc>
          <w:tcPr/>
          <w:p>
            <w:pPr>
              <w:pStyle w:val="Compact"/>
            </w:pPr>
            <w:r>
              <w:t xml:space="preserve">Every developed pixel → woody wetlands</w:t>
            </w:r>
          </w:p>
        </w:tc>
      </w:tr>
      <w:tr>
        <w:tc>
          <w:tcPr/>
          <w:p>
            <w:pPr>
              <w:pStyle w:val="Compact"/>
            </w:pPr>
            <w:r>
              <w:t xml:space="preserve">All High Density (NLCD 24)</w:t>
            </w:r>
          </w:p>
        </w:tc>
        <w:tc>
          <w:tcPr/>
          <w:p>
            <w:pPr>
              <w:pStyle w:val="Compact"/>
            </w:pPr>
            <w:r>
              <w:t xml:space="preserve">18.8</w:t>
            </w:r>
          </w:p>
        </w:tc>
        <w:tc>
          <w:tcPr/>
          <w:p>
            <w:pPr>
              <w:pStyle w:val="Compact"/>
            </w:pPr>
            <w:r>
              <w:t xml:space="preserve">0.1923</w:t>
            </w:r>
          </w:p>
        </w:tc>
        <w:tc>
          <w:tcPr/>
          <w:p>
            <w:pPr>
              <w:pStyle w:val="Compact"/>
            </w:pPr>
            <w:r>
              <w:t xml:space="preserve">Every developed pixel → high-intensity development</w:t>
            </w:r>
          </w:p>
        </w:tc>
      </w:tr>
    </w:tbl>
    <w:p>
      <w:r>
        <w:pict>
          <v:rect style="width:0;height:1.5pt" o:hralign="center" o:hrstd="t" o:hr="t"/>
        </w:pict>
      </w:r>
    </w:p>
    <w:bookmarkEnd w:id="34"/>
    <w:bookmarkStart w:id="35" w:name="convex-hull-feasible-space"/>
    <w:p>
      <w:pPr>
        <w:pStyle w:val="Heading3"/>
      </w:pPr>
      <w:r>
        <w:t xml:space="preserve">Convex Hull (feasible space)</w:t>
      </w:r>
    </w:p>
    <w:tbl>
      <w:tblPr>
        <w:tblStyle w:val="Table"/>
        <w:tblW w:type="pct" w:w="5000"/>
        <w:tblLayout w:type="fixed"/>
        <w:tblLook w:firstRow="1" w:lastRow="0" w:firstColumn="0" w:lastColumn="0" w:noHBand="0" w:noVBand="0" w:val="0020"/>
      </w:tblPr>
      <w:tblGrid>
        <w:gridCol w:w="4192"/>
        <w:gridCol w:w="3727"/>
      </w:tblGrid>
      <w:tr>
        <w:trPr>
          <w:tblHeader w:val="on"/>
        </w:trPr>
        <w:tc>
          <w:tcPr/>
          <w:p>
            <w:pPr>
              <w:pStyle w:val="Compact"/>
            </w:pPr>
            <w:r>
              <w:t xml:space="preserve">Element</w:t>
            </w:r>
          </w:p>
        </w:tc>
        <w:tc>
          <w:tcPr/>
          <w:p>
            <w:pPr>
              <w:pStyle w:val="Compact"/>
            </w:pPr>
            <w:r>
              <w:t xml:space="preserve">Detail</w:t>
            </w:r>
          </w:p>
        </w:tc>
      </w:tr>
      <w:tr>
        <w:tc>
          <w:tcPr/>
          <w:p>
            <w:pPr>
              <w:pStyle w:val="Compact"/>
            </w:pPr>
            <w:r>
              <w:rPr>
                <w:b/>
                <w:bCs/>
              </w:rPr>
              <w:t xml:space="preserve">Represents</w:t>
            </w:r>
          </w:p>
        </w:tc>
        <w:tc>
          <w:tcPr/>
          <w:p>
            <w:pPr>
              <w:pStyle w:val="Compact"/>
            </w:pPr>
            <w:r>
              <w:t xml:space="preserve">The boundary of all outcomes reachable across the pre-computed scenario grid and lookup table.</w:t>
            </w:r>
          </w:p>
        </w:tc>
      </w:tr>
      <w:tr>
        <w:tc>
          <w:tcPr/>
          <w:p>
            <w:pPr>
              <w:pStyle w:val="Compact"/>
            </w:pPr>
            <w:r>
              <w:rPr>
                <w:b/>
                <w:bCs/>
              </w:rPr>
              <w:t xml:space="preserve">Method</w:t>
            </w:r>
          </w:p>
        </w:tc>
        <w:tc>
          <w:tcPr/>
          <w:p>
            <w:pPr>
              <w:pStyle w:val="Compact"/>
            </w:pPr>
            <w:r>
              <w:rPr>
                <w:rStyle w:val="VerbatimChar"/>
              </w:rPr>
              <w:t xml:space="preserve">scipy.spatial.ConvexHull</w:t>
            </w:r>
            <w:r>
              <w:t xml:space="preserve"> </w:t>
            </w:r>
            <w:r>
              <w:t xml:space="preserve">on (flood_reduction, mean_HM) coordinates of all pre-computed scenarios.</w:t>
            </w:r>
          </w:p>
        </w:tc>
      </w:tr>
      <w:tr>
        <w:tc>
          <w:tcPr/>
          <w:p>
            <w:pPr>
              <w:pStyle w:val="Compact"/>
            </w:pPr>
            <w:r>
              <w:rPr>
                <w:b/>
                <w:bCs/>
              </w:rPr>
              <w:t xml:space="preserve">Caveats</w:t>
            </w:r>
          </w:p>
        </w:tc>
        <w:tc>
          <w:tcPr/>
          <w:p>
            <w:pPr>
              <w:pStyle w:val="Compact"/>
            </w:pPr>
            <w:r>
              <w:t xml:space="preserve">The hull is over the discrete grid, not a continuous surface — scenarios near the hull boundary are achievable but the interior is not uniformly dense.</w:t>
            </w:r>
          </w:p>
        </w:tc>
      </w:tr>
    </w:tbl>
    <w:p>
      <w:r>
        <w:pict>
          <v:rect style="width:0;height:1.5pt" o:hralign="center" o:hrstd="t" o:hr="t"/>
        </w:pict>
      </w:r>
    </w:p>
    <w:bookmarkEnd w:id="35"/>
    <w:bookmarkStart w:id="36" w:name="current-scenario-purple-star"/>
    <w:p>
      <w:pPr>
        <w:pStyle w:val="Heading3"/>
      </w:pPr>
      <w:r>
        <w:t xml:space="preserve">Current Scenario (purple star)</w:t>
      </w:r>
    </w:p>
    <w:p>
      <w:pPr>
        <w:pStyle w:val="FirstParagraph"/>
      </w:pPr>
      <w:r>
        <w:t xml:space="preserve">The outcome of the current slider settings. Crosshair lines extend from the star to both axes for easier reading.</w:t>
      </w:r>
    </w:p>
    <w:p>
      <w:r>
        <w:pict>
          <v:rect style="width:0;height:1.5pt" o:hralign="center" o:hrstd="t" o:hr="t"/>
        </w:pict>
      </w:r>
    </w:p>
    <w:bookmarkEnd w:id="36"/>
    <w:bookmarkStart w:id="37" w:name="saved-scenarios-purple-circles"/>
    <w:p>
      <w:pPr>
        <w:pStyle w:val="Heading3"/>
      </w:pPr>
      <w:r>
        <w:t xml:space="preserve">Saved Scenarios (purple circles)</w:t>
      </w:r>
    </w:p>
    <w:p>
      <w:pPr>
        <w:pStyle w:val="FirstParagraph"/>
      </w:pPr>
      <w:r>
        <w:t xml:space="preserve">Scenarios explicitly saved by clicking</w:t>
      </w:r>
      <w:r>
        <w:t xml:space="preserve"> </w:t>
      </w:r>
      <w:r>
        <w:t xml:space="preserve">“Save this scenario.”</w:t>
      </w:r>
      <w:r>
        <w:t xml:space="preserve"> </w:t>
      </w:r>
      <w:r>
        <w:t xml:space="preserve">Bubble size scales with food production (</w:t>
      </w:r>
      <w:r>
        <w:rPr>
          <w:rStyle w:val="VerbatimChar"/>
        </w:rPr>
        <w:t xml:space="preserve">base + 120 × sqrt(food / MAX_FOOD)</w:t>
      </w:r>
      <w:r>
        <w:t xml:space="preserve">). Hovering shows the scenario name and all three metric values.</w:t>
      </w:r>
    </w:p>
    <w:p>
      <w:r>
        <w:pict>
          <v:rect style="width:0;height:1.5pt" o:hralign="center" o:hrstd="t" o:hr="t"/>
        </w:pict>
      </w:r>
    </w:p>
    <w:bookmarkEnd w:id="37"/>
    <w:bookmarkStart w:id="38" w:name="pareto-frontier-gold-markers-dashed-line"/>
    <w:p>
      <w:pPr>
        <w:pStyle w:val="Heading3"/>
      </w:pPr>
      <w:r>
        <w:t xml:space="preserve">Pareto Frontier (gold markers + dashed line)</w:t>
      </w:r>
    </w:p>
    <w:tbl>
      <w:tblPr>
        <w:tblStyle w:val="Table"/>
        <w:tblW w:type="pct" w:w="5000"/>
        <w:tblLayout w:type="fixed"/>
        <w:tblLook w:firstRow="1" w:lastRow="0" w:firstColumn="0" w:lastColumn="0" w:noHBand="0" w:noVBand="0" w:val="0020"/>
      </w:tblPr>
      <w:tblGrid>
        <w:gridCol w:w="4192"/>
        <w:gridCol w:w="3727"/>
      </w:tblGrid>
      <w:tr>
        <w:trPr>
          <w:tblHeader w:val="on"/>
        </w:trPr>
        <w:tc>
          <w:tcPr/>
          <w:p>
            <w:pPr>
              <w:pStyle w:val="Compact"/>
            </w:pPr>
            <w:r>
              <w:t xml:space="preserve">Element</w:t>
            </w:r>
          </w:p>
        </w:tc>
        <w:tc>
          <w:tcPr/>
          <w:p>
            <w:pPr>
              <w:pStyle w:val="Compact"/>
            </w:pPr>
            <w:r>
              <w:t xml:space="preserve">Detail</w:t>
            </w:r>
          </w:p>
        </w:tc>
      </w:tr>
      <w:tr>
        <w:tc>
          <w:tcPr/>
          <w:p>
            <w:pPr>
              <w:pStyle w:val="Compact"/>
            </w:pPr>
            <w:r>
              <w:rPr>
                <w:b/>
                <w:bCs/>
              </w:rPr>
              <w:t xml:space="preserve">Represents</w:t>
            </w:r>
          </w:p>
        </w:tc>
        <w:tc>
          <w:tcPr/>
          <w:p>
            <w:pPr>
              <w:pStyle w:val="Compact"/>
            </w:pPr>
            <w:r>
              <w:t xml:space="preserve">The subset of saved scenarios where no other saved scenario is strictly better on all three metrics simultaneously (flood, HM, food).</w:t>
            </w:r>
          </w:p>
        </w:tc>
      </w:tr>
      <w:tr>
        <w:tc>
          <w:tcPr/>
          <w:p>
            <w:pPr>
              <w:pStyle w:val="Compact"/>
            </w:pPr>
            <w:r>
              <w:rPr>
                <w:b/>
                <w:bCs/>
              </w:rPr>
              <w:t xml:space="preserve">Method</w:t>
            </w:r>
          </w:p>
        </w:tc>
        <w:tc>
          <w:tcPr/>
          <w:p>
            <w:pPr>
              <w:pStyle w:val="Compact"/>
            </w:pPr>
            <w:r>
              <w:t xml:space="preserve">Iterative dominance check: a point is Pareto-efficient if no other point dominates it on all three dimensions.</w:t>
            </w:r>
          </w:p>
        </w:tc>
      </w:tr>
      <w:tr>
        <w:tc>
          <w:tcPr/>
          <w:p>
            <w:pPr>
              <w:pStyle w:val="Compact"/>
            </w:pPr>
            <w:r>
              <w:rPr>
                <w:b/>
                <w:bCs/>
              </w:rPr>
              <w:t xml:space="preserve">Caveats</w:t>
            </w:r>
          </w:p>
        </w:tc>
        <w:tc>
          <w:tcPr/>
          <w:p>
            <w:pPr>
              <w:pStyle w:val="Compact"/>
            </w:pPr>
            <w:r>
              <w:t xml:space="preserve">Computed over saved scenarios only; adding more saved scenarios can change which points are on the frontier.</w:t>
            </w:r>
          </w:p>
        </w:tc>
      </w:tr>
    </w:tbl>
    <w:p>
      <w:pPr>
        <w:pStyle w:val="BlockText"/>
      </w:pPr>
      <w:r>
        <w:rPr>
          <w:b/>
          <w:bCs/>
        </w:rPr>
        <w:t xml:space="preserve">💡 How to use the Pareto Frontier:</w:t>
      </w:r>
      <w:r>
        <w:t xml:space="preserve"> </w:t>
      </w:r>
      <w:r>
        <w:t xml:space="preserve">The gold markers represent the most efficient saved scenarios — ones where you cannot improve one outcome (e.g. cooling) without sacrificing another (e.g. flood reduction or food production). Any scenario near that line represents a high-performance design worth exploring further. Scenarios far from the frontier are being</w:t>
      </w:r>
      <w:r>
        <w:t xml:space="preserve"> </w:t>
      </w:r>
      <w:r>
        <w:t xml:space="preserve">‘outcompeted’</w:t>
      </w:r>
      <w:r>
        <w:t xml:space="preserve"> </w:t>
      </w:r>
      <w:r>
        <w:t xml:space="preserve">by at least one other saved scenario on all three metrics simultaneously.</w:t>
      </w:r>
    </w:p>
    <w:p>
      <w:r>
        <w:pict>
          <v:rect style="width:0;height:1.5pt" o:hralign="center" o:hrstd="t" o:hr="t"/>
        </w:pict>
      </w:r>
    </w:p>
    <w:bookmarkEnd w:id="38"/>
    <w:bookmarkStart w:id="39" w:name="optimised-suggestions-orange-diamonds"/>
    <w:p>
      <w:pPr>
        <w:pStyle w:val="Heading3"/>
      </w:pPr>
      <w:r>
        <w:t xml:space="preserve">Optimised Suggestions (orange diamonds)</w:t>
      </w:r>
    </w:p>
    <w:p>
      <w:pPr>
        <w:pStyle w:val="FirstParagraph"/>
      </w:pPr>
      <w:r>
        <w:t xml:space="preserve">Returned by the surrogate optimizer after clicking</w:t>
      </w:r>
      <w:r>
        <w:t xml:space="preserve"> </w:t>
      </w:r>
      <w:r>
        <w:t xml:space="preserve">“Optimize.”</w:t>
      </w:r>
      <w:r>
        <w:t xml:space="preserve"> </w:t>
      </w:r>
      <w:r>
        <w:t xml:space="preserve">Error bars show the 10th–90th percentile range across Random Forest trees for flood (horizontal) and HM (vertical).</w:t>
      </w:r>
    </w:p>
    <w:p>
      <w:r>
        <w:pict>
          <v:rect style="width:0;height:1.5pt" o:hralign="center" o:hrstd="t" o:hr="t"/>
        </w:pict>
      </w:r>
    </w:p>
    <w:bookmarkEnd w:id="39"/>
    <w:bookmarkStart w:id="40" w:name="X08b0971ca8da753d502424aa77bd8b10039c9f8"/>
    <w:p>
      <w:pPr>
        <w:pStyle w:val="Heading3"/>
      </w:pPr>
      <w:r>
        <w:t xml:space="preserve">Influence Map (feature importance bar chart)</w:t>
      </w:r>
    </w:p>
    <w:p>
      <w:pPr>
        <w:pStyle w:val="FirstParagraph"/>
      </w:pPr>
      <w:r>
        <w:t xml:space="preserve">Shown below the optimised suggestions table when optimizer results are present.</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Field</w:t>
            </w:r>
          </w:p>
        </w:tc>
        <w:tc>
          <w:tcPr/>
          <w:p>
            <w:pPr>
              <w:pStyle w:val="Compact"/>
            </w:pPr>
            <w:r>
              <w:t xml:space="preserve">Detail</w:t>
            </w:r>
          </w:p>
        </w:tc>
      </w:tr>
      <w:tr>
        <w:tc>
          <w:tcPr/>
          <w:p>
            <w:pPr>
              <w:pStyle w:val="Compact"/>
            </w:pPr>
            <w:r>
              <w:rPr>
                <w:b/>
                <w:bCs/>
              </w:rPr>
              <w:t xml:space="preserve">Represents</w:t>
            </w:r>
          </w:p>
        </w:tc>
        <w:tc>
          <w:tcPr/>
          <w:p>
            <w:pPr>
              <w:pStyle w:val="Compact"/>
            </w:pPr>
            <w:r>
              <w:t xml:space="preserve">Which of the three input sliders (% Converted, Green Infra %, Food Forest %) most strongly drives the surrogate model’s predictions across all three output metrics.</w:t>
            </w:r>
          </w:p>
        </w:tc>
      </w:tr>
      <w:tr>
        <w:tc>
          <w:tcPr/>
          <w:p>
            <w:pPr>
              <w:pStyle w:val="Compact"/>
            </w:pPr>
            <w:r>
              <w:rPr>
                <w:b/>
                <w:bCs/>
              </w:rPr>
              <w:t xml:space="preserve">Method</w:t>
            </w:r>
          </w:p>
        </w:tc>
        <w:tc>
          <w:tcPr/>
          <w:p>
            <w:pPr>
              <w:pStyle w:val="Compact"/>
            </w:pPr>
            <w:r>
              <w:rPr>
                <w:rStyle w:val="VerbatimChar"/>
              </w:rPr>
              <w:t xml:space="preserve">model.feature_importances_</w:t>
            </w:r>
            <w:r>
              <w:t xml:space="preserve"> </w:t>
            </w:r>
            <w:r>
              <w:t xml:space="preserve">from the Random Forest — the mean decrease in impurity averaged across all trees and all output dimensions.</w:t>
            </w:r>
          </w:p>
        </w:tc>
      </w:tr>
      <w:tr>
        <w:tc>
          <w:tcPr/>
          <w:p>
            <w:pPr>
              <w:pStyle w:val="Compact"/>
            </w:pPr>
            <w:r>
              <w:rPr>
                <w:b/>
                <w:bCs/>
              </w:rPr>
              <w:t xml:space="preserve">Caveats</w:t>
            </w:r>
          </w:p>
        </w:tc>
        <w:tc>
          <w:tcPr/>
          <w:p>
            <w:pPr>
              <w:pStyle w:val="Compact"/>
            </w:pPr>
            <w:r>
              <w:t xml:space="preserve">Importances reflect the surrogate’s learned relationships, not physical causation. Because the three inputs are constrained (GI% + FF% ≤ 100%), their importances are not fully independent.</w:t>
            </w:r>
          </w:p>
        </w:tc>
      </w:tr>
    </w:tbl>
    <w:p>
      <w:r>
        <w:pict>
          <v:rect style="width:0;height:1.5pt" o:hralign="center" o:hrstd="t" o:hr="t"/>
        </w:pict>
      </w:r>
    </w:p>
    <w:bookmarkEnd w:id="40"/>
    <w:bookmarkEnd w:id="41"/>
    <w:bookmarkStart w:id="42" w:name="bar-charts-scenario-tab"/>
    <w:p>
      <w:pPr>
        <w:pStyle w:val="Heading2"/>
      </w:pPr>
      <w:r>
        <w:t xml:space="preserve">Bar Charts (Scenario tab)</w:t>
      </w:r>
    </w:p>
    <w:p>
      <w:pPr>
        <w:pStyle w:val="FirstParagraph"/>
      </w:pPr>
      <w:r>
        <w:t xml:space="preserve">Three side-by-side bars comparing the current scenario to the unmodified baseline on the three primary metrics.</w:t>
      </w:r>
    </w:p>
    <w:tbl>
      <w:tblPr>
        <w:tblStyle w:val="Table"/>
        <w:tblW w:type="pct" w:w="5000"/>
        <w:tblLayout w:type="fixed"/>
        <w:tblLook w:firstRow="1" w:lastRow="0" w:firstColumn="0" w:lastColumn="0" w:noHBand="0" w:noVBand="0" w:val="0020"/>
      </w:tblPr>
      <w:tblGrid>
        <w:gridCol w:w="1205"/>
        <w:gridCol w:w="1377"/>
        <w:gridCol w:w="2582"/>
        <w:gridCol w:w="2754"/>
      </w:tblGrid>
      <w:tr>
        <w:trPr>
          <w:tblHeader w:val="on"/>
        </w:trPr>
        <w:tc>
          <w:tcPr/>
          <w:p>
            <w:pPr>
              <w:pStyle w:val="Compact"/>
            </w:pPr>
            <w:r>
              <w:t xml:space="preserve">Chart</w:t>
            </w:r>
          </w:p>
        </w:tc>
        <w:tc>
          <w:tcPr/>
          <w:p>
            <w:pPr>
              <w:pStyle w:val="Compact"/>
            </w:pPr>
            <w:r>
              <w:t xml:space="preserve">Y-axis</w:t>
            </w:r>
          </w:p>
        </w:tc>
        <w:tc>
          <w:tcPr/>
          <w:p>
            <w:pPr>
              <w:pStyle w:val="Compact"/>
            </w:pPr>
            <w:r>
              <w:t xml:space="preserve">Baseline value</w:t>
            </w:r>
          </w:p>
        </w:tc>
        <w:tc>
          <w:tcPr/>
          <w:p>
            <w:pPr>
              <w:pStyle w:val="Compact"/>
            </w:pPr>
            <w:r>
              <w:t xml:space="preserve">Scenario value</w:t>
            </w:r>
          </w:p>
        </w:tc>
      </w:tr>
      <w:tr>
        <w:tc>
          <w:tcPr/>
          <w:p>
            <w:pPr>
              <w:pStyle w:val="Compact"/>
            </w:pPr>
            <w:r>
              <w:t xml:space="preserve">Flood Risk</w:t>
            </w:r>
          </w:p>
        </w:tc>
        <w:tc>
          <w:tcPr/>
          <w:p>
            <w:pPr>
              <w:pStyle w:val="Compact"/>
            </w:pPr>
            <w:r>
              <w:t xml:space="preserve">Mean Curve Number (lower = less runoff)</w:t>
            </w:r>
          </w:p>
        </w:tc>
        <w:tc>
          <w:tcPr/>
          <w:p>
            <w:pPr>
              <w:pStyle w:val="Compact"/>
            </w:pPr>
            <w:r>
              <w:rPr>
                <w:rStyle w:val="VerbatimChar"/>
              </w:rPr>
              <w:t xml:space="preserve">BASELINE_CN</w:t>
            </w:r>
            <w:r>
              <w:t xml:space="preserve"> </w:t>
            </w:r>
            <w:r>
              <w:t xml:space="preserve">(75.7)</w:t>
            </w:r>
          </w:p>
        </w:tc>
        <w:tc>
          <w:tcPr/>
          <w:p>
            <w:pPr>
              <w:pStyle w:val="Compact"/>
            </w:pPr>
            <w:r>
              <w:rPr>
                <w:rStyle w:val="VerbatimChar"/>
              </w:rPr>
              <w:t xml:space="preserve">mean_CN</w:t>
            </w:r>
            <w:r>
              <w:t xml:space="preserve"> </w:t>
            </w:r>
            <w:r>
              <w:t xml:space="preserve">from scenario</w:t>
            </w:r>
          </w:p>
        </w:tc>
      </w:tr>
      <w:tr>
        <w:tc>
          <w:tcPr/>
          <w:p>
            <w:pPr>
              <w:pStyle w:val="Compact"/>
            </w:pPr>
            <w:r>
              <w:t xml:space="preserve">Urban Cooling</w:t>
            </w:r>
          </w:p>
        </w:tc>
        <w:tc>
          <w:tcPr/>
          <w:p>
            <w:pPr>
              <w:pStyle w:val="Compact"/>
            </w:pPr>
            <w:r>
              <w:t xml:space="preserve">Heat Mitigation Index (higher = more cooling)</w:t>
            </w:r>
          </w:p>
        </w:tc>
        <w:tc>
          <w:tcPr/>
          <w:p>
            <w:pPr>
              <w:pStyle w:val="Compact"/>
            </w:pPr>
            <w:r>
              <w:rPr>
                <w:rStyle w:val="VerbatimChar"/>
              </w:rPr>
              <w:t xml:space="preserve">BASELINE_HM</w:t>
            </w:r>
            <w:r>
              <w:t xml:space="preserve"> </w:t>
            </w:r>
            <w:r>
              <w:t xml:space="preserve">(0.2719)</w:t>
            </w:r>
          </w:p>
        </w:tc>
        <w:tc>
          <w:tcPr/>
          <w:p>
            <w:pPr>
              <w:pStyle w:val="Compact"/>
            </w:pPr>
            <w:r>
              <w:rPr>
                <w:rStyle w:val="VerbatimChar"/>
              </w:rPr>
              <w:t xml:space="preserve">mean_HM</w:t>
            </w:r>
            <w:r>
              <w:t xml:space="preserve"> </w:t>
            </w:r>
            <w:r>
              <w:t xml:space="preserve">from scenario</w:t>
            </w:r>
          </w:p>
        </w:tc>
      </w:tr>
      <w:tr>
        <w:tc>
          <w:tcPr/>
          <w:p>
            <w:pPr>
              <w:pStyle w:val="Compact"/>
            </w:pPr>
            <w:r>
              <w:t xml:space="preserve">Food Production</w:t>
            </w:r>
          </w:p>
        </w:tc>
        <w:tc>
          <w:tcPr/>
          <w:p>
            <w:pPr>
              <w:pStyle w:val="Compact"/>
            </w:pPr>
            <w:r>
              <w:t xml:space="preserve">Million lbs/year</w:t>
            </w:r>
          </w:p>
        </w:tc>
        <w:tc>
          <w:tcPr/>
          <w:p>
            <w:pPr>
              <w:pStyle w:val="Compact"/>
            </w:pPr>
            <w:r>
              <w:t xml:space="preserve">0.0 (no food forest in baseline)</w:t>
            </w:r>
          </w:p>
        </w:tc>
        <w:tc>
          <w:tcPr/>
          <w:p>
            <w:pPr>
              <w:pStyle w:val="Compact"/>
            </w:pPr>
            <w:r>
              <w:rPr>
                <w:rStyle w:val="VerbatimChar"/>
              </w:rPr>
              <w:t xml:space="preserve">food_mln_lbs</w:t>
            </w:r>
            <w:r>
              <w:t xml:space="preserve"> </w:t>
            </w:r>
            <w:r>
              <w:t xml:space="preserve">from scenario</w:t>
            </w:r>
          </w:p>
        </w:tc>
      </w:tr>
    </w:tbl>
    <w:p>
      <w:pPr>
        <w:pStyle w:val="BodyText"/>
      </w:pPr>
      <w:r>
        <w:t xml:space="preserve">A horizontal dashed line at the baseline value is drawn on the Flood Risk and Cooling charts for visual reference. The Food Production y-axis is scaled to</w:t>
      </w:r>
      <w:r>
        <w:t xml:space="preserve"> </w:t>
      </w:r>
      <w:r>
        <w:rPr>
          <w:rStyle w:val="VerbatimChar"/>
        </w:rPr>
        <w:t xml:space="preserve">MAX_FOOD × 1.1</w:t>
      </w:r>
      <w:r>
        <w:t xml:space="preserve"> </w:t>
      </w:r>
      <w:r>
        <w:t xml:space="preserve">across all pre-computed scenarios.</w:t>
      </w:r>
    </w:p>
    <w:p>
      <w:r>
        <w:pict>
          <v:rect style="width:0;height:1.5pt" o:hralign="center" o:hrstd="t" o:hr="t"/>
        </w:pict>
      </w:r>
    </w:p>
    <w:bookmarkEnd w:id="42"/>
    <w:bookmarkStart w:id="43" w:name="map-view-map-view-tab"/>
    <w:p>
      <w:pPr>
        <w:pStyle w:val="Heading2"/>
      </w:pPr>
      <w:r>
        <w:t xml:space="preserve">Map View (Map View tab)</w:t>
      </w:r>
    </w:p>
    <w:p>
      <w:pPr>
        <w:pStyle w:val="FirstParagraph"/>
      </w:pPr>
      <w:r>
        <w:t xml:space="preserve">Pixel-level raster showing which developed pixels changed and to what land cover.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Colour</w:t>
            </w:r>
          </w:p>
        </w:tc>
        <w:tc>
          <w:tcPr/>
          <w:p>
            <w:pPr>
              <w:pStyle w:val="Compact"/>
            </w:pPr>
            <w:r>
              <w:t xml:space="preserve">Meaning</w:t>
            </w:r>
          </w:p>
        </w:tc>
      </w:tr>
      <w:tr>
        <w:tc>
          <w:tcPr/>
          <w:p>
            <w:pPr>
              <w:pStyle w:val="Compact"/>
            </w:pPr>
            <w:r>
              <w:t xml:space="preserve">Gray (</w:t>
            </w:r>
            <w:r>
              <w:rPr>
                <w:rStyle w:val="VerbatimChar"/>
              </w:rPr>
              <w:t xml:space="preserve">#d3d3d3</w:t>
            </w:r>
            <w:r>
              <w:t xml:space="preserve">)</w:t>
            </w:r>
          </w:p>
        </w:tc>
        <w:tc>
          <w:tcPr/>
          <w:p>
            <w:pPr>
              <w:pStyle w:val="Compact"/>
            </w:pPr>
            <w:r>
              <w:t xml:space="preserve">Developed pixel, unchanged</w:t>
            </w:r>
          </w:p>
        </w:tc>
      </w:tr>
      <w:tr>
        <w:tc>
          <w:tcPr/>
          <w:p>
            <w:pPr>
              <w:pStyle w:val="Compact"/>
            </w:pPr>
            <w:r>
              <w:t xml:space="preserve">Teal (</w:t>
            </w:r>
            <w:r>
              <w:rPr>
                <w:rStyle w:val="VerbatimChar"/>
              </w:rPr>
              <w:t xml:space="preserve">#2196a0</w:t>
            </w:r>
            <w:r>
              <w:t xml:space="preserve">)</w:t>
            </w:r>
          </w:p>
        </w:tc>
        <w:tc>
          <w:tcPr/>
          <w:p>
            <w:pPr>
              <w:pStyle w:val="Compact"/>
            </w:pPr>
            <w:r>
              <w:t xml:space="preserve">Converted to Green Infrastructure (NLCD 90)</w:t>
            </w:r>
          </w:p>
        </w:tc>
      </w:tr>
      <w:tr>
        <w:tc>
          <w:tcPr/>
          <w:p>
            <w:pPr>
              <w:pStyle w:val="Compact"/>
            </w:pPr>
            <w:r>
              <w:t xml:space="preserve">Green (</w:t>
            </w:r>
            <w:r>
              <w:rPr>
                <w:rStyle w:val="VerbatimChar"/>
              </w:rPr>
              <w:t xml:space="preserve">#4caf50</w:t>
            </w:r>
            <w:r>
              <w:t xml:space="preserve">)</w:t>
            </w:r>
          </w:p>
        </w:tc>
        <w:tc>
          <w:tcPr/>
          <w:p>
            <w:pPr>
              <w:pStyle w:val="Compact"/>
            </w:pPr>
            <w:r>
              <w:t xml:space="preserve">Converted to Food Forest (NLCD 41)</w:t>
            </w:r>
          </w:p>
        </w:tc>
      </w:tr>
      <w:tr>
        <w:tc>
          <w:tcPr/>
          <w:p>
            <w:pPr>
              <w:pStyle w:val="Compact"/>
            </w:pPr>
            <w:r>
              <w:t xml:space="preserve">Red (</w:t>
            </w:r>
            <w:r>
              <w:rPr>
                <w:rStyle w:val="VerbatimChar"/>
              </w:rPr>
              <w:t xml:space="preserve">#e53935</w:t>
            </w:r>
            <w:r>
              <w:t xml:space="preserve">)</w:t>
            </w:r>
          </w:p>
        </w:tc>
        <w:tc>
          <w:tcPr/>
          <w:p>
            <w:pPr>
              <w:pStyle w:val="Compact"/>
            </w:pPr>
            <w:r>
              <w:t xml:space="preserve">Converted to High Density (NLCD 24)</w:t>
            </w:r>
          </w:p>
        </w:tc>
      </w:tr>
      <w:tr>
        <w:tc>
          <w:tcPr/>
          <w:p>
            <w:pPr>
              <w:pStyle w:val="Compact"/>
            </w:pPr>
            <w:r>
              <w:t xml:space="preserve">White</w:t>
            </w:r>
          </w:p>
        </w:tc>
        <w:tc>
          <w:tcPr/>
          <w:p>
            <w:pPr>
              <w:pStyle w:val="Compact"/>
            </w:pPr>
            <w:r>
              <w:t xml:space="preserve">Outside city boundary (</w:t>
            </w:r>
            <w:r>
              <w:rPr>
                <w:rStyle w:val="VerbatimChar"/>
              </w:rPr>
              <w:t xml:space="preserve">NODATA = -128</w:t>
            </w:r>
            <w:r>
              <w:t xml:space="preserve">)</w:t>
            </w:r>
          </w:p>
        </w:tc>
      </w:tr>
    </w:tbl>
    <w:p>
      <w:pPr>
        <w:pStyle w:val="BodyText"/>
      </w:pPr>
      <w:r>
        <w:t xml:space="preserve">When heat-priority mode is on, teal/green/red pixels are concentrated in higher-intensity developed areas rather than uniformly distributed.</w:t>
      </w:r>
    </w:p>
    <w:p>
      <w:r>
        <w:pict>
          <v:rect style="width:0;height:1.5pt" o:hralign="center" o:hrstd="t" o:hr="t"/>
        </w:pict>
      </w:r>
    </w:p>
    <w:bookmarkEnd w:id="43"/>
    <w:bookmarkStart w:id="44" w:name="intended-use"/>
    <w:p>
      <w:pPr>
        <w:pStyle w:val="Heading2"/>
      </w:pPr>
      <w:r>
        <w:t xml:space="preserve">Intended Use</w:t>
      </w:r>
    </w:p>
    <w:p>
      <w:pPr>
        <w:pStyle w:val="FirstParagraph"/>
      </w:pPr>
      <w:r>
        <w:rPr>
          <w:b/>
          <w:bCs/>
        </w:rPr>
        <w:t xml:space="preserve">This tool is designed for:</w:t>
      </w:r>
      <w:r>
        <w:t xml:space="preserve"> </w:t>
      </w:r>
      <w:r>
        <w:t xml:space="preserve">- Comparing alternative land-use allocation strategies</w:t>
      </w:r>
      <w:r>
        <w:t xml:space="preserve"> </w:t>
      </w:r>
      <w:r>
        <w:t xml:space="preserve">- Exploring tradeoffs across multiple ecosystem services</w:t>
      </w:r>
      <w:r>
        <w:t xml:space="preserve"> </w:t>
      </w:r>
      <w:r>
        <w:t xml:space="preserve">- Identifying candidate scenarios for deeper analysis</w:t>
      </w:r>
    </w:p>
    <w:p>
      <w:pPr>
        <w:pStyle w:val="BodyText"/>
      </w:pPr>
      <w:r>
        <w:rPr>
          <w:b/>
          <w:bCs/>
        </w:rPr>
        <w:t xml:space="preserve">It is not intended for:</w:t>
      </w:r>
      <w:r>
        <w:t xml:space="preserve"> </w:t>
      </w:r>
      <w:r>
        <w:t xml:space="preserve">- Parcel-level siting decisions</w:t>
      </w:r>
      <w:r>
        <w:t xml:space="preserve"> </w:t>
      </w:r>
      <w:r>
        <w:t xml:space="preserve">- Precise impact prediction</w:t>
      </w:r>
      <w:r>
        <w:t xml:space="preserve"> </w:t>
      </w:r>
      <w:r>
        <w:t xml:space="preserve">- Final policy or investment decisions without further analysis</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2026-05-03T23:15:34Z</dcterms:created>
  <dcterms:modified xsi:type="dcterms:W3CDTF">2026-05-03T23:15:34Z</dcterms:modified>
</cp:coreProperties>
</file>

<file path=docProps/custom.xml><?xml version="1.0" encoding="utf-8"?>
<Properties xmlns="http://schemas.openxmlformats.org/officeDocument/2006/custom-properties" xmlns:vt="http://schemas.openxmlformats.org/officeDocument/2006/docPropsVTypes"/>
</file>