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ecosystem-explorer-ui-reference"/>
    <w:p>
      <w:pPr>
        <w:pStyle w:val="Heading1"/>
      </w:pPr>
      <w:r>
        <w:t xml:space="preserve">Ecosystem Explorer — UI Reference</w:t>
      </w:r>
    </w:p>
    <w:p>
      <w:pPr>
        <w:pStyle w:val="FirstParagraph"/>
      </w:pPr>
      <w:r>
        <w:t xml:space="preserve">Every visible element in the app, what it means, and how it is computed.</w:t>
      </w:r>
    </w:p>
    <w:p>
      <w:r>
        <w:pict>
          <v:rect style="width:0;height:1.5pt" o:hralign="center" o:hrstd="t" o:hr="t"/>
        </w:pict>
      </w:r>
    </w:p>
    <w:bookmarkStart w:id="9" w:name="conceptual-overview"/>
    <w:p>
      <w:pPr>
        <w:pStyle w:val="Heading2"/>
      </w:pPr>
      <w:r>
        <w:t xml:space="preserve">Conceptual Overview</w:t>
      </w:r>
    </w:p>
    <w:p>
      <w:pPr>
        <w:pStyle w:val="FirstParagraph"/>
      </w:pPr>
      <w:r>
        <w:t xml:space="preserve">The Ecosystem Explorer simulates how reallocating developed land among green infrastructure (wetlands), food forest, and high-density development affects three primary outcomes: flood runoff (via Curve Number), urban cooling (via a heat mitigation index), and food production (via yield benchmarks).</w:t>
      </w:r>
    </w:p>
    <w:p>
      <w:pPr>
        <w:pStyle w:val="BodyText"/>
      </w:pPr>
      <w:r>
        <w:t xml:space="preserve">Scenarios are generated by selecting a percentage of developed land and reallocating it across these categories. Results are calculated from land cover and soil data at the pixel level, then averaged across the city. Spatial patterns are simplified rather than explicitly optimized. The tool is designed for comparative exploration of tradeoffs rather than precise prediction.</w:t>
      </w:r>
    </w:p>
    <w:p>
      <w:r>
        <w:pict>
          <v:rect style="width:0;height:1.5pt" o:hralign="center" o:hrstd="t" o:hr="t"/>
        </w:pict>
      </w:r>
    </w:p>
    <w:bookmarkEnd w:id="9"/>
    <w:bookmarkStart w:id="10" w:name="intended-use"/>
    <w:p>
      <w:pPr>
        <w:pStyle w:val="Heading2"/>
      </w:pPr>
      <w:r>
        <w:t xml:space="preserve">Intended Use</w:t>
      </w:r>
    </w:p>
    <w:p>
      <w:pPr>
        <w:pStyle w:val="FirstParagraph"/>
      </w:pPr>
      <w:r>
        <w:rPr>
          <w:b/>
          <w:bCs/>
        </w:rPr>
        <w:t xml:space="preserve">This tool is designed for:</w:t>
      </w:r>
      <w:r>
        <w:t xml:space="preserve"> </w:t>
      </w:r>
      <w:r>
        <w:t xml:space="preserve">- Comparing alternative land-use allocation strategies</w:t>
      </w:r>
      <w:r>
        <w:t xml:space="preserve"> </w:t>
      </w:r>
      <w:r>
        <w:t xml:space="preserve">- Exploring tradeoffs across multiple ecosystem services</w:t>
      </w:r>
      <w:r>
        <w:t xml:space="preserve"> </w:t>
      </w:r>
      <w:r>
        <w:t xml:space="preserve">- Identifying candidate scenarios for deeper analysis</w:t>
      </w:r>
      <w:r>
        <w:t xml:space="preserve"> </w:t>
      </w:r>
      <w:r>
        <w:t xml:space="preserve">- Supporting early-stage planning conversations and stakeholder discussions</w:t>
      </w:r>
    </w:p>
    <w:p>
      <w:pPr>
        <w:pStyle w:val="BodyText"/>
      </w:pPr>
      <w:r>
        <w:rPr>
          <w:b/>
          <w:bCs/>
        </w:rPr>
        <w:t xml:space="preserve">It is not intended for:</w:t>
      </w:r>
      <w:r>
        <w:t xml:space="preserve"> </w:t>
      </w:r>
      <w:r>
        <w:t xml:space="preserve">- Parcel-level siting decisions</w:t>
      </w:r>
      <w:r>
        <w:t xml:space="preserve"> </w:t>
      </w:r>
      <w:r>
        <w:t xml:space="preserve">- Precise impact prediction</w:t>
      </w:r>
      <w:r>
        <w:t xml:space="preserve"> </w:t>
      </w:r>
      <w:r>
        <w:t xml:space="preserve">- Final policy or investment decisions without further analysis</w:t>
      </w:r>
    </w:p>
    <w:p>
      <w:r>
        <w:pict>
          <v:rect style="width:0;height:1.5pt" o:hralign="center" o:hrstd="t" o:hr="t"/>
        </w:pict>
      </w:r>
    </w:p>
    <w:bookmarkEnd w:id="10"/>
    <w:bookmarkStart w:id="11" w:name="key-terms"/>
    <w:p>
      <w:pPr>
        <w:pStyle w:val="Heading2"/>
      </w:pPr>
      <w:r>
        <w:t xml:space="preserve">Key Terms</w:t>
      </w:r>
    </w:p>
    <w:p>
      <w:pPr>
        <w:pStyle w:val="FirstParagraph"/>
      </w:pPr>
      <w:r>
        <w:rPr>
          <w:b/>
          <w:bCs/>
        </w:rPr>
        <w:t xml:space="preserve">Acre-Foot</w:t>
      </w:r>
      <w:r>
        <w:t xml:space="preserve"> </w:t>
      </w:r>
      <w:r>
        <w:t xml:space="preserve">— A unit of water volume equal to one acre of surface area covered one foot deep (~326,000 gallons, or roughly half an Olympic swimming pool). For context, one acre-foot is approximately the volume of water needed to cover a standard city block (~330 × 330 feet) in about 1.3 inches of water — a useful way to visualize stormwater volumes in an urban setting.</w:t>
      </w:r>
    </w:p>
    <w:p>
      <w:pPr>
        <w:pStyle w:val="BodyText"/>
      </w:pPr>
      <w:r>
        <w:rPr>
          <w:b/>
          <w:bCs/>
        </w:rPr>
        <w:t xml:space="preserve">Curve Number (CN)</w:t>
      </w:r>
      <w:r>
        <w:t xml:space="preserve"> </w:t>
      </w:r>
      <w:r>
        <w:t xml:space="preserve">— A unitless runoff score from 0–100 developed by the USDA. High scores (e.g. 90+) mean surfaces shed water quickly, like a parking lot. Low scores (e.g. 30–50) mean surfaces absorb water slowly, like a sponge. Green infrastructure (wetlands) drives CN down; high-density development drives it up.</w:t>
      </w:r>
    </w:p>
    <w:p>
      <w:pPr>
        <w:pStyle w:val="BodyText"/>
      </w:pPr>
      <w:r>
        <w:rPr>
          <w:b/>
          <w:bCs/>
        </w:rPr>
        <w:t xml:space="preserve">Heat Mitigation (HM) Index</w:t>
      </w:r>
      <w:r>
        <w:t xml:space="preserve"> </w:t>
      </w:r>
      <w:r>
        <w:t xml:space="preserve">— A 0–1 index measuring how well a land cover type reduces urban heat through shade and evapotranspiration (cooling via water evaporation and plant transpiration). A score of 0 means no mitigation (bare pavement); a score near 1 means strong cooling effect (dense vegetation). Derived from the InVEST Urban Cooling Model.</w:t>
      </w:r>
    </w:p>
    <w:p>
      <w:r>
        <w:pict>
          <v:rect style="width:0;height:1.5pt" o:hralign="center" o:hrstd="t" o:hr="t"/>
        </w:pict>
      </w:r>
    </w:p>
    <w:bookmarkEnd w:id="11"/>
    <w:bookmarkStart w:id="12" w:name="methodology-notes"/>
    <w:p>
      <w:pPr>
        <w:pStyle w:val="Heading2"/>
      </w:pPr>
      <w:r>
        <w:t xml:space="preserve">Methodology Notes</w:t>
      </w:r>
    </w:p>
    <w:p>
      <w:pPr>
        <w:pStyle w:val="FirstParagraph"/>
      </w:pPr>
      <w:r>
        <w:rPr>
          <w:b/>
          <w:bCs/>
        </w:rPr>
        <w:t xml:space="preserve">Design Storm (2-inch rainfall)</w:t>
      </w:r>
      <w:r>
        <w:t xml:space="preserve"> </w:t>
      </w:r>
      <w:r>
        <w:t xml:space="preserve">— Flood runoff is calculated for a 2.0-inch rainfall event, representing a typical minor storm for Minneapolis rather than an extreme or century-scale event. Results for larger storms will differ; the 2-inch event is used for consistent cross-scenario comparison.</w:t>
      </w:r>
    </w:p>
    <w:p>
      <w:pPr>
        <w:pStyle w:val="BodyText"/>
      </w:pPr>
      <w:r>
        <w:rPr>
          <w:b/>
          <w:bCs/>
        </w:rPr>
        <w:t xml:space="preserve">Temperature Calibration (4°F/HM unit)</w:t>
      </w:r>
      <w:r>
        <w:t xml:space="preserve"> </w:t>
      </w:r>
      <w:r>
        <w:t xml:space="preserve">— The conversion from HM index to degrees Fahrenheit uses a factor of 4°F per HM unit, a midpoint estimate from InVEST Urban Cooling Model literature (published range: 2–5°C per HM unit). This factor has not been locally calibrated for Minneapolis and should be treated as an order-of-magnitude approximation. Outputs carry roughly ±2°F uncertainty.</w:t>
      </w:r>
    </w:p>
    <w:p>
      <w:pPr>
        <w:pStyle w:val="BodyText"/>
      </w:pPr>
      <w:r>
        <w:rPr>
          <w:b/>
          <w:bCs/>
        </w:rPr>
        <w:t xml:space="preserve">Food Forest Yield (11,500 lbs/acre/year)</w:t>
      </w:r>
      <w:r>
        <w:t xml:space="preserve"> </w:t>
      </w:r>
      <w:r>
        <w:t xml:space="preserve">— This benchmark is drawn from NatCap/InVEST food forest studies and assumes a mature, well-managed ecosystem at peak productivity. Newly established food forests will produce significantly less in early years. Actual yield depends on species mix, soil quality, management intensity, and climate.</w:t>
      </w:r>
    </w:p>
    <w:p>
      <w:r>
        <w:pict>
          <v:rect style="width:0;height:1.5pt" o:hralign="center" o:hrstd="t" o:hr="t"/>
        </w:pict>
      </w:r>
    </w:p>
    <w:bookmarkEnd w:id="12"/>
    <w:bookmarkStart w:id="13" w:name="data-sources"/>
    <w:p>
      <w:pPr>
        <w:pStyle w:val="Heading2"/>
      </w:pPr>
      <w:r>
        <w:t xml:space="preserve">Data Sources</w:t>
      </w:r>
    </w:p>
    <w:p>
      <w:pPr>
        <w:pStyle w:val="FirstParagraph"/>
      </w:pPr>
      <w:r>
        <w:rPr>
          <w:b/>
          <w:bCs/>
        </w:rPr>
        <w:t xml:space="preserve">Land Use / Land Cover</w:t>
      </w:r>
      <w:r>
        <w:t xml:space="preserve"> </w:t>
      </w:r>
      <w:r>
        <w:t xml:space="preserve">— National Land Cover Database (NLCD) 2021, produced by the USGS Multi-Resolution Land Characteristics Consortium. Provides 30m resolution land cover classifications across the contiguous US. Used to identify developed pixels eligible for conversion and to assign CN and HM values via biophysical lookup tables.</w:t>
      </w:r>
    </w:p>
    <w:p>
      <w:pPr>
        <w:pStyle w:val="BodyText"/>
      </w:pPr>
      <w:r>
        <w:rPr>
          <w:b/>
          <w:bCs/>
        </w:rPr>
        <w:t xml:space="preserve">Soils</w:t>
      </w:r>
      <w:r>
        <w:t xml:space="preserve"> </w:t>
      </w:r>
      <w:r>
        <w:t xml:space="preserve">— USDA Soil Survey Geographic Database (SSURGO), rasterized to match the NLCD grid. Soil hydrologic group (A/B/C/D) determines how quickly water infiltrates: Group A soils (sandy) absorb water readily; Group D soils (clay-rich) shed water quickly. Used to assign the correct Curve Number per land cover × soil combination.</w:t>
      </w:r>
    </w:p>
    <w:p>
      <w:pPr>
        <w:pStyle w:val="BodyText"/>
      </w:pPr>
      <w:r>
        <w:rPr>
          <w:b/>
          <w:bCs/>
        </w:rPr>
        <w:t xml:space="preserve">Biophysical Tables</w:t>
      </w:r>
      <w:r>
        <w:t xml:space="preserve"> </w:t>
      </w:r>
      <w:r>
        <w:t xml:space="preserve">— Per-lucode CN and HM parameters derived from InVEST model documentation and NatCap published studies. These tables translate NLCD land cover codes into hydrological and thermal performance values.</w:t>
      </w:r>
    </w:p>
    <w:p>
      <w:pPr>
        <w:pStyle w:val="BodyText"/>
      </w:pPr>
      <w:r>
        <w:rPr>
          <w:b/>
          <w:bCs/>
        </w:rPr>
        <w:t xml:space="preserve">Heat Exposure Proxy</w:t>
      </w:r>
      <w:r>
        <w:t xml:space="preserve"> </w:t>
      </w:r>
      <w:r>
        <w:t xml:space="preserve">— The current version uses NLCD development intensity (codes 23 &gt; 22 &gt; 21) as a stand-in for neighborhood heat vulnerability. This is a land-use proxy, not a measured temperature or socioeconomic index. A formal Heat Vulnerability Index (e.g. CDC/ATSDR HVI by census tract) is intended for a future version.</w:t>
      </w:r>
    </w:p>
    <w:p>
      <w:r>
        <w:pict>
          <v:rect style="width:0;height:1.5pt" o:hralign="center" o:hrstd="t" o:hr="t"/>
        </w:pict>
      </w:r>
    </w:p>
    <w:bookmarkEnd w:id="13"/>
    <w:bookmarkStart w:id="14" w:name="computation-architecture"/>
    <w:p>
      <w:pPr>
        <w:pStyle w:val="Heading2"/>
      </w:pPr>
      <w:r>
        <w:t xml:space="preserve">Computation Architecture</w:t>
      </w:r>
    </w:p>
    <w:p>
      <w:pPr>
        <w:pStyle w:val="FirstParagraph"/>
      </w:pPr>
      <w:r>
        <w:t xml:space="preserve">The full raster model provides the detailed spatial biophysical calculations. The lookup table makes the app responsive. The surrogate model makes large-scale scenario search possible.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Why it exists</w:t>
            </w:r>
          </w:p>
        </w:tc>
      </w:tr>
      <w:tr>
        <w:tc>
          <w:tcPr/>
          <w:p>
            <w:pPr>
              <w:pStyle w:val="Compact"/>
            </w:pPr>
            <w:r>
              <w:t xml:space="preserve">Full raster simulations</w:t>
            </w:r>
          </w:p>
        </w:tc>
        <w:tc>
          <w:tcPr/>
          <w:p>
            <w:pPr>
              <w:pStyle w:val="Compact"/>
            </w:pPr>
            <w:r>
              <w:t xml:space="preserve">Realism</w:t>
            </w:r>
          </w:p>
        </w:tc>
      </w:tr>
      <w:tr>
        <w:tc>
          <w:tcPr/>
          <w:p>
            <w:pPr>
              <w:pStyle w:val="Compact"/>
            </w:pPr>
            <w:r>
              <w:t xml:space="preserve">Lookup table</w:t>
            </w:r>
          </w:p>
        </w:tc>
        <w:tc>
          <w:tcPr/>
          <w:p>
            <w:pPr>
              <w:pStyle w:val="Compact"/>
            </w:pPr>
            <w:r>
              <w:t xml:space="preserve">Speed</w:t>
            </w:r>
          </w:p>
        </w:tc>
      </w:tr>
      <w:tr>
        <w:tc>
          <w:tcPr/>
          <w:p>
            <w:pPr>
              <w:pStyle w:val="Compact"/>
            </w:pPr>
            <w:r>
              <w:t xml:space="preserve">Surrogate model</w:t>
            </w:r>
          </w:p>
        </w:tc>
        <w:tc>
          <w:tcPr/>
          <w:p>
            <w:pPr>
              <w:pStyle w:val="Compact"/>
            </w:pPr>
            <w:r>
              <w:t xml:space="preserve">Exploration</w:t>
            </w:r>
          </w:p>
        </w:tc>
      </w:tr>
    </w:tbl>
    <w:p>
      <w:pPr>
        <w:pStyle w:val="BodyText"/>
      </w:pPr>
      <w:r>
        <w:t xml:space="preserve">The app combines three computational layers to balance realism and responsiveness:</w:t>
      </w:r>
    </w:p>
    <w:p>
      <w:pPr>
        <w:numPr>
          <w:ilvl w:val="0"/>
          <w:numId w:val="1001"/>
        </w:numPr>
      </w:pPr>
      <w:r>
        <w:rPr>
          <w:b/>
          <w:bCs/>
        </w:rPr>
        <w:t xml:space="preserve">Full-resolution raster simulations (90 scenarios)</w:t>
      </w:r>
      <w:r>
        <w:br/>
      </w:r>
      <w:r>
        <w:t xml:space="preserve">Used to train the surrogate model. These scenarios are computed directly from the pixel-level land cover and soil rasters, covering 6 conversion levels × 15 allocation combinations.</w:t>
      </w:r>
    </w:p>
    <w:p>
      <w:pPr>
        <w:numPr>
          <w:ilvl w:val="0"/>
          <w:numId w:val="1001"/>
        </w:numPr>
      </w:pPr>
      <w:r>
        <w:rPr>
          <w:b/>
          <w:bCs/>
        </w:rPr>
        <w:t xml:space="preserve">Precomputed lookup table (2,541 scenarios)</w:t>
      </w:r>
      <w:r>
        <w:br/>
      </w:r>
      <w:r>
        <w:t xml:space="preserve">Used for near-instant slider response during normal interaction. These scenarios are stored in memory at startup and retrieved directly rather than recomputed on every slider move.</w:t>
      </w:r>
    </w:p>
    <w:p>
      <w:pPr>
        <w:numPr>
          <w:ilvl w:val="0"/>
          <w:numId w:val="1001"/>
        </w:numPr>
      </w:pPr>
      <w:r>
        <w:rPr>
          <w:b/>
          <w:bCs/>
        </w:rPr>
        <w:t xml:space="preserve">Runtime surrogate optimization (~10,000 candidate scenarios)</w:t>
      </w:r>
      <w:r>
        <w:br/>
      </w:r>
      <w:r>
        <w:t xml:space="preserve">During optimization, the app generates thousands of new candidate land-use combinations and evaluates them using the Random Forest surrogate model rather than the full raster simulation. This enables rapid search across a much wider range of scenarios than the lookup table covers.</w:t>
      </w:r>
    </w:p>
    <w:p>
      <w:r>
        <w:pict>
          <v:rect style="width:0;height:1.5pt" o:hralign="center" o:hrstd="t" o:hr="t"/>
        </w:pict>
      </w:r>
    </w:p>
    <w:bookmarkEnd w:id="14"/>
    <w:bookmarkStart w:id="18" w:name="metric-cards-row-1-three-columns"/>
    <w:p>
      <w:pPr>
        <w:pStyle w:val="Heading2"/>
      </w:pPr>
      <w:r>
        <w:t xml:space="preserve">Metric Cards — Row 1 (three columns)</w:t>
      </w:r>
    </w:p>
    <w:bookmarkStart w:id="15" w:name="flood-risk-reduction"/>
    <w:p>
      <w:pPr>
        <w:pStyle w:val="Heading3"/>
      </w:pPr>
      <w:r>
        <w:t xml:space="preserve">Flood Risk Reduction</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Represents</w:t>
            </w:r>
          </w:p>
        </w:tc>
        <w:tc>
          <w:tcPr/>
          <w:p>
            <w:pPr>
              <w:pStyle w:val="Compact"/>
            </w:pPr>
            <w:r>
              <w:t xml:space="preserve">A unitless index of runoff potential derived from the average Curve Number (CN). Lower CN implies greater infiltration and lower runoff potential. Reported as 100 − mean_CN for interpretability. Higher is better.</w:t>
            </w:r>
          </w:p>
        </w:tc>
      </w:tr>
      <w:tr>
        <w:tc>
          <w:tcPr/>
          <w:p>
            <w:pPr>
              <w:pStyle w:val="Compact"/>
            </w:pPr>
            <w:r>
              <w:rPr>
                <w:b/>
                <w:bCs/>
              </w:rPr>
              <w:t xml:space="preserve">Formula</w:t>
            </w:r>
          </w:p>
        </w:tc>
        <w:tc>
          <w:tcPr/>
          <w:p>
            <w:pPr>
              <w:pStyle w:val="Compact"/>
            </w:pPr>
            <w:r>
              <w:t xml:space="preserve">Computed as 100 minus the area-weighted average Curve Number across all pixels. Essentially, we turn the runoff score upside down so that a higher number always means a better result.</w:t>
            </w:r>
            <w:r>
              <w:t xml:space="preserve"> </w:t>
            </w:r>
            <w:r>
              <w:rPr>
                <w:b/>
                <w:bCs/>
              </w:rPr>
              <w:t xml:space="preserve">Technical detail:</w:t>
            </w:r>
            <w:r>
              <w:t xml:space="preserve"> </w:t>
            </w:r>
            <w:r>
              <w:rPr>
                <w:rStyle w:val="VerbatimChar"/>
              </w:rPr>
              <w:t xml:space="preserve">100 − mean_CN</w:t>
            </w:r>
            <w:r>
              <w:t xml:space="preserve">, where</w:t>
            </w:r>
            <w:r>
              <w:t xml:space="preserve"> </w:t>
            </w:r>
            <w:r>
              <w:rPr>
                <w:rStyle w:val="VerbatimChar"/>
              </w:rPr>
              <w:t xml:space="preserve">mean_CN</w:t>
            </w:r>
            <w:r>
              <w:t xml:space="preserve"> </w:t>
            </w:r>
            <w:r>
              <w:t xml:space="preserve">is derived from the biophysical lookup table by land cover type and soil group.</w:t>
            </w:r>
          </w:p>
        </w:tc>
      </w:tr>
      <w:tr>
        <w:tc>
          <w:tcPr/>
          <w:p>
            <w:pPr>
              <w:pStyle w:val="Compact"/>
            </w:pPr>
            <w:r>
              <w:rPr>
                <w:b/>
                <w:bCs/>
              </w:rPr>
              <w:t xml:space="preserve">Data source</w:t>
            </w:r>
          </w:p>
        </w:tc>
        <w:tc>
          <w:tcPr/>
          <w:p>
            <w:pPr>
              <w:pStyle w:val="Compact"/>
            </w:pPr>
            <w:r>
              <w:rPr>
                <w:rStyle w:val="VerbatimChar"/>
              </w:rPr>
              <w:t xml:space="preserve">UFR_biophysical_table_MN.csv</w:t>
            </w:r>
            <w:r>
              <w:t xml:space="preserve"> </w:t>
            </w:r>
            <w:r>
              <w:t xml:space="preserve">(CN values by lucode × soil group),</w:t>
            </w:r>
            <w:r>
              <w:t xml:space="preserve"> </w:t>
            </w:r>
            <w:r>
              <w:rPr>
                <w:rStyle w:val="VerbatimChar"/>
              </w:rPr>
              <w:t xml:space="preserve">soil_group_MN.tif</w:t>
            </w:r>
            <w:r>
              <w:t xml:space="preserve">,</w:t>
            </w:r>
            <w:r>
              <w:t xml:space="preserve"> </w:t>
            </w:r>
            <w:r>
              <w:rPr>
                <w:rStyle w:val="VerbatimChar"/>
              </w:rPr>
              <w:t xml:space="preserve">LULC_NLCD_2021_MN.tif</w:t>
            </w:r>
            <w:r>
              <w:t xml:space="preserve">.</w:t>
            </w:r>
          </w:p>
        </w:tc>
      </w:tr>
      <w:tr>
        <w:tc>
          <w:tcPr/>
          <w:p>
            <w:pPr>
              <w:pStyle w:val="Compact"/>
            </w:pPr>
            <w:r>
              <w:rPr>
                <w:b/>
                <w:bCs/>
              </w:rPr>
              <w:t xml:space="preserve">Delta</w:t>
            </w:r>
          </w:p>
        </w:tc>
        <w:tc>
          <w:tcPr/>
          <w:p>
            <w:pPr>
              <w:pStyle w:val="Compact"/>
            </w:pPr>
            <w:r>
              <w:t xml:space="preserve">Difference vs baseline (</w:t>
            </w:r>
            <w:r>
              <w:rPr>
                <w:rStyle w:val="VerbatimChar"/>
              </w:rPr>
              <w:t xml:space="preserve">BASELINE_CN = 75.7</w:t>
            </w:r>
            <w:r>
              <w:t xml:space="preserve"> </w:t>
            </w:r>
            <w:r>
              <w:t xml:space="preserve">→ baseline index = 24.3).</w:t>
            </w:r>
          </w:p>
        </w:tc>
      </w:tr>
      <w:tr>
        <w:tc>
          <w:tcPr/>
          <w:p>
            <w:pPr>
              <w:pStyle w:val="Compact"/>
            </w:pPr>
            <w:r>
              <w:rPr>
                <w:b/>
                <w:bCs/>
              </w:rPr>
              <w:t xml:space="preserve">Caveats</w:t>
            </w:r>
          </w:p>
        </w:tc>
        <w:tc>
          <w:tcPr/>
          <w:p>
            <w:pPr>
              <w:pStyle w:val="Compact"/>
            </w:pPr>
            <w:r>
              <w:t xml:space="preserve">Not a direct percentage reduction in runoff volume — it is a CN-derived index. Green infrastructure (NLCD 90) drives the largest improvements; high-density development (NLCD 24) makes it worse.</w:t>
            </w:r>
          </w:p>
        </w:tc>
      </w:tr>
    </w:tbl>
    <w:p>
      <w:r>
        <w:pict>
          <v:rect style="width:0;height:1.5pt" o:hralign="center" o:hrstd="t" o:hr="t"/>
        </w:pict>
      </w:r>
    </w:p>
    <w:bookmarkEnd w:id="15"/>
    <w:bookmarkStart w:id="16" w:name="temperature-change"/>
    <w:p>
      <w:pPr>
        <w:pStyle w:val="Heading3"/>
      </w:pPr>
      <w:r>
        <w:t xml:space="preserve">Temperature Change</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Represents</w:t>
            </w:r>
          </w:p>
        </w:tc>
        <w:tc>
          <w:tcPr/>
          <w:p>
            <w:pPr>
              <w:pStyle w:val="Compact"/>
            </w:pPr>
            <w:r>
              <w:t xml:space="preserve">Approximate air-temperature difference vs the unmodified baseline, expressed as a direction and magnitude (e.g. </w:t>
            </w:r>
            <w:r>
              <w:t xml:space="preserve">“1.2°F cooler”</w:t>
            </w:r>
            <w:r>
              <w:t xml:space="preserve"> </w:t>
            </w:r>
            <w:r>
              <w:t xml:space="preserve">or</w:t>
            </w:r>
            <w:r>
              <w:t xml:space="preserve"> </w:t>
            </w:r>
            <w:r>
              <w:t xml:space="preserve">“0.8°F warmer”</w:t>
            </w:r>
            <w:r>
              <w:t xml:space="preserve">).</w:t>
            </w:r>
          </w:p>
        </w:tc>
      </w:tr>
      <w:tr>
        <w:tc>
          <w:tcPr/>
          <w:p>
            <w:pPr>
              <w:pStyle w:val="Compact"/>
            </w:pPr>
            <w:r>
              <w:rPr>
                <w:b/>
                <w:bCs/>
              </w:rPr>
              <w:t xml:space="preserve">Formula</w:t>
            </w:r>
          </w:p>
        </w:tc>
        <w:tc>
          <w:tcPr/>
          <w:p>
            <w:pPr>
              <w:pStyle w:val="Compact"/>
            </w:pPr>
            <w:r>
              <w:t xml:space="preserve">Computed by averaging the shade and evapotranspiration coefficients for each pixel, then converting the change vs baseline to degrees Fahrenheit using a calibration factor.</w:t>
            </w:r>
            <w:r>
              <w:t xml:space="preserve"> </w:t>
            </w:r>
            <w:r>
              <w:rPr>
                <w:b/>
                <w:bCs/>
              </w:rPr>
              <w:t xml:space="preserve">Technical detail:</w:t>
            </w:r>
            <w:r>
              <w:t xml:space="preserve"> </w:t>
            </w:r>
            <w:r>
              <w:rPr>
                <w:rStyle w:val="VerbatimChar"/>
              </w:rPr>
              <w:t xml:space="preserve">HM = (shade + kc) / 2</w:t>
            </w:r>
            <w:r>
              <w:t xml:space="preserve"> </w:t>
            </w:r>
            <w:r>
              <w:t xml:space="preserve">per InVEST Urban Cooling Model;</w:t>
            </w:r>
            <w:r>
              <w:t xml:space="preserve"> </w:t>
            </w:r>
            <w:r>
              <w:rPr>
                <w:rStyle w:val="VerbatimChar"/>
              </w:rPr>
              <w:t xml:space="preserve">ΔHM × 4.0°F/HM unit</w:t>
            </w:r>
            <w:r>
              <w:t xml:space="preserve">. Calibration: 4.0°F/HM is an approximate midpoint from InVEST UCM literature (range 2–5°C per HM unit); not locally calibrated for Minneapolis. Treat as directional only.</w:t>
            </w:r>
          </w:p>
        </w:tc>
      </w:tr>
      <w:tr>
        <w:tc>
          <w:tcPr/>
          <w:p>
            <w:pPr>
              <w:pStyle w:val="Compact"/>
            </w:pPr>
            <w:r>
              <w:rPr>
                <w:b/>
                <w:bCs/>
              </w:rPr>
              <w:t xml:space="preserve">Data source</w:t>
            </w:r>
          </w:p>
        </w:tc>
        <w:tc>
          <w:tcPr/>
          <w:p>
            <w:pPr>
              <w:pStyle w:val="Compact"/>
            </w:pPr>
            <w:r>
              <w:rPr>
                <w:rStyle w:val="VerbatimChar"/>
              </w:rPr>
              <w:t xml:space="preserve">biophysical_table_urban_cooling.csv</w:t>
            </w:r>
            <w:r>
              <w:t xml:space="preserve"> </w:t>
            </w:r>
            <w:r>
              <w:t xml:space="preserve">(shade and kc columns per NLCD lucode).</w:t>
            </w:r>
          </w:p>
        </w:tc>
      </w:tr>
      <w:tr>
        <w:tc>
          <w:tcPr/>
          <w:p>
            <w:pPr>
              <w:pStyle w:val="Compact"/>
            </w:pPr>
            <w:r>
              <w:rPr>
                <w:b/>
                <w:bCs/>
              </w:rPr>
              <w:t xml:space="preserve">Delta</w:t>
            </w:r>
          </w:p>
        </w:tc>
        <w:tc>
          <w:tcPr/>
          <w:p>
            <w:pPr>
              <w:pStyle w:val="Compact"/>
            </w:pPr>
            <w:r>
              <w:t xml:space="preserve">Raw HM values for the scenario and baseline shown side-by-side (e.g. </w:t>
            </w:r>
            <w:r>
              <w:t xml:space="preserve">“HM 0.3142 vs 0.2719”</w:t>
            </w:r>
            <w:r>
              <w:t xml:space="preserve">).</w:t>
            </w:r>
          </w:p>
        </w:tc>
      </w:tr>
      <w:tr>
        <w:tc>
          <w:tcPr/>
          <w:p>
            <w:pPr>
              <w:pStyle w:val="Compact"/>
            </w:pPr>
            <w:r>
              <w:rPr>
                <w:b/>
                <w:bCs/>
              </w:rPr>
              <w:t xml:space="preserve">Caveats</w:t>
            </w:r>
          </w:p>
        </w:tc>
        <w:tc>
          <w:tcPr/>
          <w:p>
            <w:pPr>
              <w:pStyle w:val="Compact"/>
            </w:pPr>
            <w:r>
              <w:t xml:space="preserve">Calibration factor of 4 °F/HM unit is approximate for Minneapolis; accuracy is roughly ±2 °F. The HM index is a proxy, not a direct temperature measurement. This scaling is not locally calibrated and should not be interpreted as a site-specific temperature prediction. This range reflects both the model’s approximation and the fact that local air temperatures are influenced by factors such as wind, humidity, and urban geometry not captured in this tool.</w:t>
            </w:r>
          </w:p>
        </w:tc>
      </w:tr>
    </w:tbl>
    <w:p>
      <w:r>
        <w:pict>
          <v:rect style="width:0;height:1.5pt" o:hralign="center" o:hrstd="t" o:hr="t"/>
        </w:pict>
      </w:r>
    </w:p>
    <w:bookmarkEnd w:id="16"/>
    <w:bookmarkStart w:id="17" w:name="runoff-volume"/>
    <w:p>
      <w:pPr>
        <w:pStyle w:val="Heading3"/>
      </w:pPr>
      <w:r>
        <w:t xml:space="preserve">Runoff Volume</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Represents</w:t>
            </w:r>
          </w:p>
        </w:tc>
        <w:tc>
          <w:tcPr/>
          <w:p>
            <w:pPr>
              <w:pStyle w:val="Compact"/>
            </w:pPr>
            <w:r>
              <w:t xml:space="preserve">Total stormwater runoff volume generated under this scenario for a 2-inch design storm, across all developed land. Lower values indicate greater runoff reduction relative to baseline.</w:t>
            </w:r>
          </w:p>
        </w:tc>
      </w:tr>
      <w:tr>
        <w:tc>
          <w:tcPr/>
          <w:p>
            <w:pPr>
              <w:pStyle w:val="Compact"/>
            </w:pPr>
            <w:r>
              <w:rPr>
                <w:b/>
                <w:bCs/>
              </w:rPr>
              <w:t xml:space="preserve">Formula</w:t>
            </w:r>
          </w:p>
        </w:tc>
        <w:tc>
          <w:tcPr/>
          <w:p>
            <w:pPr>
              <w:pStyle w:val="Compact"/>
            </w:pPr>
            <w:r>
              <w:t xml:space="preserve">Calculated using the standard USDA-SCS method, which converts the Curve Number and 2-inch rainfall depth into a runoff depth, then scales by total developed acreage.</w:t>
            </w:r>
            <w:r>
              <w:t xml:space="preserve"> </w:t>
            </w:r>
            <w:r>
              <w:rPr>
                <w:b/>
                <w:bCs/>
              </w:rPr>
              <w:t xml:space="preserve">Technical detail:</w:t>
            </w:r>
            <w:r>
              <w:t xml:space="preserve"> </w:t>
            </w:r>
            <w:r>
              <w:rPr>
                <w:rStyle w:val="VerbatimChar"/>
              </w:rPr>
              <w:t xml:space="preserve">S = (1000/CN) − 10</w:t>
            </w:r>
            <w:r>
              <w:t xml:space="preserve">,</w:t>
            </w:r>
            <w:r>
              <w:t xml:space="preserve"> </w:t>
            </w:r>
            <w:r>
              <w:rPr>
                <w:rStyle w:val="VerbatimChar"/>
              </w:rPr>
              <w:t xml:space="preserve">Ia = 0.2S</w:t>
            </w:r>
            <w:r>
              <w:t xml:space="preserve">,</w:t>
            </w:r>
            <w:r>
              <w:t xml:space="preserve"> </w:t>
            </w:r>
            <w:r>
              <w:rPr>
                <w:rStyle w:val="VerbatimChar"/>
              </w:rPr>
              <w:t xml:space="preserve">Q_in = (P−Ia)²/(P−Ia+S)</w:t>
            </w:r>
            <w:r>
              <w:t xml:space="preserve">, then</w:t>
            </w:r>
            <w:r>
              <w:t xml:space="preserve"> </w:t>
            </w:r>
            <w:r>
              <w:rPr>
                <w:rStyle w:val="VerbatimChar"/>
              </w:rPr>
              <w:t xml:space="preserve">(Q_in/12) × total_developed_acres</w:t>
            </w:r>
            <w:r>
              <w:t xml:space="preserve"> </w:t>
            </w:r>
            <w:r>
              <w:t xml:space="preserve">in acre-feet.</w:t>
            </w:r>
            <w:r>
              <w:t xml:space="preserve"> </w:t>
            </w:r>
            <w:r>
              <w:rPr>
                <w:rStyle w:val="VerbatimChar"/>
              </w:rPr>
              <w:t xml:space="preserve">P = 2.0 inches</w:t>
            </w:r>
            <w:r>
              <w:t xml:space="preserve">.</w:t>
            </w:r>
          </w:p>
        </w:tc>
      </w:tr>
      <w:tr>
        <w:tc>
          <w:tcPr/>
          <w:p>
            <w:pPr>
              <w:pStyle w:val="Compact"/>
            </w:pPr>
            <w:r>
              <w:rPr>
                <w:b/>
                <w:bCs/>
              </w:rPr>
              <w:t xml:space="preserve">Data source</w:t>
            </w:r>
          </w:p>
        </w:tc>
        <w:tc>
          <w:tcPr/>
          <w:p>
            <w:pPr>
              <w:pStyle w:val="Compact"/>
            </w:pPr>
            <w:r>
              <w:t xml:space="preserve">Derived from</w:t>
            </w:r>
            <w:r>
              <w:t xml:space="preserve"> </w:t>
            </w:r>
            <w:r>
              <w:rPr>
                <w:rStyle w:val="VerbatimChar"/>
              </w:rPr>
              <w:t xml:space="preserve">mean_CN</w:t>
            </w:r>
            <w:r>
              <w:t xml:space="preserve"> </w:t>
            </w:r>
            <w:r>
              <w:t xml:space="preserve">(see Flood Risk Reduction) and total developed acreage (</w:t>
            </w:r>
            <w:r>
              <w:rPr>
                <w:rStyle w:val="VerbatimChar"/>
              </w:rPr>
              <w:t xml:space="preserve">n_developed_pixels × 0.222 acres</w:t>
            </w:r>
            <w:r>
              <w:t xml:space="preserve">).</w:t>
            </w:r>
          </w:p>
        </w:tc>
      </w:tr>
      <w:tr>
        <w:tc>
          <w:tcPr/>
          <w:p>
            <w:pPr>
              <w:pStyle w:val="Compact"/>
            </w:pPr>
            <w:r>
              <w:rPr>
                <w:b/>
                <w:bCs/>
              </w:rPr>
              <w:t xml:space="preserve">Caveats</w:t>
            </w:r>
          </w:p>
        </w:tc>
        <w:tc>
          <w:tcPr/>
          <w:p>
            <w:pPr>
              <w:pStyle w:val="Compact"/>
            </w:pPr>
            <w:r>
              <w:t xml:space="preserve">A 2-inch storm represents a common minor design event; results for larger storms will differ. The card’s delta sub-label shows the explicit reduction vs baseline (green) or increase (red).</w:t>
            </w:r>
          </w:p>
        </w:tc>
      </w:tr>
    </w:tbl>
    <w:p>
      <w:r>
        <w:pict>
          <v:rect style="width:0;height:1.5pt" o:hralign="center" o:hrstd="t" o:hr="t"/>
        </w:pict>
      </w:r>
    </w:p>
    <w:bookmarkEnd w:id="17"/>
    <w:bookmarkEnd w:id="18"/>
    <w:bookmarkStart w:id="21" w:name="metric-cards-row-2-two-columns"/>
    <w:p>
      <w:pPr>
        <w:pStyle w:val="Heading2"/>
      </w:pPr>
      <w:r>
        <w:t xml:space="preserve">Metric Cards — Row 2 (two columns)</w:t>
      </w:r>
    </w:p>
    <w:bookmarkStart w:id="19" w:name="food-production"/>
    <w:p>
      <w:pPr>
        <w:pStyle w:val="Heading3"/>
      </w:pPr>
      <w:r>
        <w:t xml:space="preserve">Food Production</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Represents</w:t>
            </w:r>
          </w:p>
        </w:tc>
        <w:tc>
          <w:tcPr/>
          <w:p>
            <w:pPr>
              <w:pStyle w:val="Compact"/>
            </w:pPr>
            <w:r>
              <w:t xml:space="preserve">Annual food yield from pixels converted to food forest land cover, in millions of pounds per year.</w:t>
            </w:r>
          </w:p>
        </w:tc>
      </w:tr>
      <w:tr>
        <w:tc>
          <w:tcPr/>
          <w:p>
            <w:pPr>
              <w:pStyle w:val="Compact"/>
            </w:pPr>
            <w:r>
              <w:rPr>
                <w:b/>
                <w:bCs/>
              </w:rPr>
              <w:t xml:space="preserve">Formula</w:t>
            </w:r>
          </w:p>
        </w:tc>
        <w:tc>
          <w:tcPr/>
          <w:p>
            <w:pPr>
              <w:pStyle w:val="Compact"/>
            </w:pPr>
            <w:r>
              <w:t xml:space="preserve">Counts the number of food forest pixels in the scenario, converts to acres, and multiplies by the yield benchmark.</w:t>
            </w:r>
            <w:r>
              <w:t xml:space="preserve"> </w:t>
            </w:r>
            <w:r>
              <w:rPr>
                <w:b/>
                <w:bCs/>
              </w:rPr>
              <w:t xml:space="preserve">Technical detail:</w:t>
            </w:r>
            <w:r>
              <w:t xml:space="preserve"> </w:t>
            </w:r>
            <w:r>
              <w:rPr>
                <w:rStyle w:val="VerbatimChar"/>
              </w:rPr>
              <w:t xml:space="preserve">n_food_forest_pixels × 0.222 acres/pixel × 11,500 lbs/acre/year ÷ 1,000,000</w:t>
            </w:r>
            <w:r>
              <w:t xml:space="preserve">.</w:t>
            </w:r>
          </w:p>
        </w:tc>
      </w:tr>
      <w:tr>
        <w:tc>
          <w:tcPr/>
          <w:p>
            <w:pPr>
              <w:pStyle w:val="Compact"/>
            </w:pPr>
            <w:r>
              <w:rPr>
                <w:b/>
                <w:bCs/>
              </w:rPr>
              <w:t xml:space="preserve">Data source</w:t>
            </w:r>
          </w:p>
        </w:tc>
        <w:tc>
          <w:tcPr/>
          <w:p>
            <w:pPr>
              <w:pStyle w:val="Compact"/>
            </w:pPr>
            <w:r>
              <w:t xml:space="preserve">Pixel count from the scenario LULC raster (NLCD code 41 pixels). Yield benchmark from San Antonio NatCap study.</w:t>
            </w:r>
          </w:p>
        </w:tc>
      </w:tr>
      <w:tr>
        <w:tc>
          <w:tcPr/>
          <w:p>
            <w:pPr>
              <w:pStyle w:val="Compact"/>
            </w:pPr>
            <w:r>
              <w:rPr>
                <w:b/>
                <w:bCs/>
              </w:rPr>
              <w:t xml:space="preserve">Delta</w:t>
            </w:r>
          </w:p>
        </w:tc>
        <w:tc>
          <w:tcPr/>
          <w:p>
            <w:pPr>
              <w:pStyle w:val="Compact"/>
            </w:pPr>
            <w:r>
              <w:t xml:space="preserve">People fed, computed as</w:t>
            </w:r>
            <w:r>
              <w:t xml:space="preserve"> </w:t>
            </w:r>
            <w:r>
              <w:rPr>
                <w:rStyle w:val="VerbatimChar"/>
              </w:rPr>
              <w:t xml:space="preserve">total_lbs ÷ 2,000 lbs/person/year</w:t>
            </w:r>
            <w:r>
              <w:t xml:space="preserve">.</w:t>
            </w:r>
          </w:p>
        </w:tc>
      </w:tr>
      <w:tr>
        <w:tc>
          <w:tcPr/>
          <w:p>
            <w:pPr>
              <w:pStyle w:val="Compact"/>
            </w:pPr>
            <w:r>
              <w:rPr>
                <w:b/>
                <w:bCs/>
              </w:rPr>
              <w:t xml:space="preserve">Caveats</w:t>
            </w:r>
          </w:p>
        </w:tc>
        <w:tc>
          <w:tcPr/>
          <w:p>
            <w:pPr>
              <w:pStyle w:val="Compact"/>
            </w:pPr>
            <w:r>
              <w:t xml:space="preserve">11,500 lbs/acre/year is a benchmark estimate, not site-specific. NLCD code 41 (deciduous forest) is used as a proxy for food-producing tree cover. Actual yield depends on species mix, management, and soil quality. Deciduous forest (NLCD 41) is used as a proxy because it best represents the canopy structure, shade cover, and evapotranspiration characteristics of a managed food forest among available NLCD classes. No NLCD class exists specifically for food forests or agroforestry systems.</w:t>
            </w:r>
          </w:p>
        </w:tc>
      </w:tr>
    </w:tbl>
    <w:p>
      <w:r>
        <w:pict>
          <v:rect style="width:0;height:1.5pt" o:hralign="center" o:hrstd="t" o:hr="t"/>
        </w:pict>
      </w:r>
    </w:p>
    <w:bookmarkEnd w:id="19"/>
    <w:bookmarkStart w:id="20" w:name="est.-implementation-cost"/>
    <w:p>
      <w:pPr>
        <w:pStyle w:val="Heading3"/>
      </w:pPr>
      <w:r>
        <w:t xml:space="preserve">Est. Implementation Cost</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Represents</w:t>
            </w:r>
          </w:p>
        </w:tc>
        <w:tc>
          <w:tcPr/>
          <w:p>
            <w:pPr>
              <w:pStyle w:val="Compact"/>
            </w:pPr>
            <w:r>
              <w:t xml:space="preserve">Rough order-of-magnitude total capital cost to implement all conversions in the scenario.</w:t>
            </w:r>
          </w:p>
        </w:tc>
      </w:tr>
      <w:tr>
        <w:tc>
          <w:tcPr/>
          <w:p>
            <w:pPr>
              <w:pStyle w:val="Compact"/>
            </w:pPr>
            <w:r>
              <w:rPr>
                <w:b/>
                <w:bCs/>
              </w:rPr>
              <w:t xml:space="preserve">Formula</w:t>
            </w:r>
          </w:p>
        </w:tc>
        <w:tc>
          <w:tcPr/>
          <w:p>
            <w:pPr>
              <w:pStyle w:val="Compact"/>
            </w:pPr>
            <w:r>
              <w:t xml:space="preserve">Multiplies the acreage of each land use type by its per-acre cost and sums across all three types.</w:t>
            </w:r>
            <w:r>
              <w:t xml:space="preserve"> </w:t>
            </w:r>
            <w:r>
              <w:rPr>
                <w:b/>
                <w:bCs/>
              </w:rPr>
              <w:t xml:space="preserve">Technical detail:</w:t>
            </w:r>
            <w:r>
              <w:t xml:space="preserve"> </w:t>
            </w:r>
            <w:r>
              <w:rPr>
                <w:rStyle w:val="VerbatimChar"/>
              </w:rPr>
              <w:t xml:space="preserve">(n_GI_pixels × 0.222 × cost_GI) + (n_FF_pixels × 0.222 × cost_FF) + (n_HD_pixels × 0.222 × cost_HD)</w:t>
            </w:r>
            <w:r>
              <w:t xml:space="preserve">, divided by 1,000,000 for $M display.</w:t>
            </w:r>
          </w:p>
        </w:tc>
      </w:tr>
      <w:tr>
        <w:tc>
          <w:tcPr/>
          <w:p>
            <w:pPr>
              <w:pStyle w:val="Compact"/>
            </w:pPr>
            <w:r>
              <w:rPr>
                <w:b/>
                <w:bCs/>
              </w:rPr>
              <w:t xml:space="preserve">Data source</w:t>
            </w:r>
          </w:p>
        </w:tc>
        <w:tc>
          <w:tcPr/>
          <w:p>
            <w:pPr>
              <w:pStyle w:val="Compact"/>
            </w:pPr>
            <w:r>
              <w:t xml:space="preserve">Pixel counts from the scenario LULC; per-acre costs from the sidebar sliders.</w:t>
            </w:r>
          </w:p>
        </w:tc>
      </w:tr>
      <w:tr>
        <w:tc>
          <w:tcPr/>
          <w:p>
            <w:pPr>
              <w:pStyle w:val="Compact"/>
            </w:pPr>
            <w:r>
              <w:rPr>
                <w:b/>
                <w:bCs/>
              </w:rPr>
              <w:t xml:space="preserve">Caveats</w:t>
            </w:r>
          </w:p>
        </w:tc>
        <w:tc>
          <w:tcPr/>
          <w:p>
            <w:pPr>
              <w:pStyle w:val="Compact"/>
            </w:pPr>
            <w:r>
              <w:t xml:space="preserve">Does not include maintenance, land acquisition, or displacement costs. Defaults ($50k/acre GI, $10k/acre FF, $5k/acre HD) are rough midpoints; use the sliders to reflect local conditions.</w:t>
            </w:r>
          </w:p>
        </w:tc>
      </w:tr>
      <w:tr>
        <w:tc>
          <w:tcPr/>
          <w:p>
            <w:pPr>
              <w:pStyle w:val="Compact"/>
            </w:pPr>
            <w:r>
              <w:rPr>
                <w:b/>
                <w:bCs/>
              </w:rPr>
              <w:t xml:space="preserve">Cost defaults</w:t>
            </w:r>
          </w:p>
        </w:tc>
        <w:tc>
          <w:tcPr/>
          <w:p>
            <w:pPr>
              <w:pStyle w:val="Compact"/>
            </w:pPr>
            <w:r>
              <w:t xml:space="preserve">Default values ($50k/acre GI, $10k/acre FF, $5k/acre HD) are placeholder costs to show you how the math works — not sourced from specific studies. You should plug in your actual local budget numbers using the sliders.</w:t>
            </w:r>
          </w:p>
        </w:tc>
      </w:tr>
    </w:tbl>
    <w:p>
      <w:r>
        <w:pict>
          <v:rect style="width:0;height:1.5pt" o:hralign="center" o:hrstd="t" o:hr="t"/>
        </w:pict>
      </w:r>
    </w:p>
    <w:bookmarkEnd w:id="20"/>
    <w:bookmarkEnd w:id="21"/>
    <w:bookmarkStart w:id="25" w:name="X829dc69744e10072c496dd2408a113055bf8004"/>
    <w:p>
      <w:pPr>
        <w:pStyle w:val="Heading2"/>
      </w:pPr>
      <w:r>
        <w:t xml:space="preserve">Metric Cards — Row 3: Cost-Effectiveness Ratios</w:t>
      </w:r>
    </w:p>
    <w:p>
      <w:pPr>
        <w:pStyle w:val="FirstParagraph"/>
      </w:pPr>
      <w:r>
        <w:t xml:space="preserve">All three ratios show</w:t>
      </w:r>
      <w:r>
        <w:t xml:space="preserve"> </w:t>
      </w:r>
      <w:r>
        <w:rPr>
          <w:b/>
          <w:bCs/>
        </w:rPr>
        <w:t xml:space="preserve">N/A</w:t>
      </w:r>
      <w:r>
        <w:t xml:space="preserve"> </w:t>
      </w:r>
      <w:r>
        <w:t xml:space="preserve">when the denominator is zero or negative (no improvement vs baseline) or when total cost is zero (no conversions).</w:t>
      </w:r>
    </w:p>
    <w:p>
      <w:pPr>
        <w:pStyle w:val="BodyText"/>
      </w:pPr>
      <w:r>
        <w:rPr>
          <w:b/>
          <w:bCs/>
        </w:rPr>
        <w:t xml:space="preserve">Decision Note:</w:t>
      </w:r>
      <w:r>
        <w:t xml:space="preserve"> </w:t>
      </w:r>
      <w:r>
        <w:t xml:space="preserve">If you see N/A, it means one of two things: either the scenario has zero cost (no land was converted), or the scenario is performing worse than the current city baseline on that specific metric — for example, adding high-density development increases runoff rather than reducing it. Try adjusting the conversion mix toward green infrastructure or food forest to see cost-effectiveness values appear.</w:t>
      </w:r>
    </w:p>
    <w:bookmarkStart w:id="22" w:name="cost-acre-foot-prevented"/>
    <w:p>
      <w:pPr>
        <w:pStyle w:val="Heading3"/>
      </w:pPr>
      <w:r>
        <w:t xml:space="preserve">Cost / Acre-Foot Prevented</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Represents</w:t>
            </w:r>
          </w:p>
        </w:tc>
        <w:tc>
          <w:tcPr/>
          <w:p>
            <w:pPr>
              <w:pStyle w:val="Compact"/>
            </w:pPr>
            <w:r>
              <w:t xml:space="preserve">Implementation dollars spent per acre-foot of runoff reduction relative to the baseline scenario.</w:t>
            </w:r>
          </w:p>
        </w:tc>
      </w:tr>
      <w:tr>
        <w:tc>
          <w:tcPr/>
          <w:p>
            <w:pPr>
              <w:pStyle w:val="Compact"/>
            </w:pPr>
            <w:r>
              <w:rPr>
                <w:b/>
                <w:bCs/>
              </w:rPr>
              <w:t xml:space="preserve">Formula</w:t>
            </w:r>
          </w:p>
        </w:tc>
        <w:tc>
          <w:tcPr/>
          <w:p>
            <w:pPr>
              <w:pStyle w:val="Compact"/>
            </w:pPr>
            <w:r>
              <w:rPr>
                <w:rStyle w:val="VerbatimChar"/>
              </w:rPr>
              <w:t xml:space="preserve">total_cost_$ ÷ (BASELINE_RUNOFF_ACFT − scenario_runoff_acft)</w:t>
            </w:r>
            <w:r>
              <w:t xml:space="preserve">.</w:t>
            </w:r>
          </w:p>
        </w:tc>
      </w:tr>
      <w:tr>
        <w:tc>
          <w:tcPr/>
          <w:p>
            <w:pPr>
              <w:pStyle w:val="Compact"/>
            </w:pPr>
            <w:r>
              <w:rPr>
                <w:b/>
                <w:bCs/>
              </w:rPr>
              <w:t xml:space="preserve">Caveats</w:t>
            </w:r>
          </w:p>
        </w:tc>
        <w:tc>
          <w:tcPr/>
          <w:p>
            <w:pPr>
              <w:pStyle w:val="Compact"/>
            </w:pPr>
            <w:r>
              <w:t xml:space="preserve">N/A if the scenario increases runoff (e.g. all high-density). Lower is better.</w:t>
            </w:r>
          </w:p>
        </w:tc>
      </w:tr>
    </w:tbl>
    <w:p>
      <w:r>
        <w:pict>
          <v:rect style="width:0;height:1.5pt" o:hralign="center" o:hrstd="t" o:hr="t"/>
        </w:pict>
      </w:r>
    </w:p>
    <w:bookmarkEnd w:id="22"/>
    <w:bookmarkStart w:id="23" w:name="cost-f-cooling"/>
    <w:p>
      <w:pPr>
        <w:pStyle w:val="Heading3"/>
      </w:pPr>
      <w:r>
        <w:t xml:space="preserve">Cost / °F Cooling</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Represents</w:t>
            </w:r>
          </w:p>
        </w:tc>
        <w:tc>
          <w:tcPr/>
          <w:p>
            <w:pPr>
              <w:pStyle w:val="Compact"/>
            </w:pPr>
            <w:r>
              <w:t xml:space="preserve">Implementation dollars spent per degree Fahrenheit of cooling vs baseline.</w:t>
            </w:r>
          </w:p>
        </w:tc>
      </w:tr>
      <w:tr>
        <w:tc>
          <w:tcPr/>
          <w:p>
            <w:pPr>
              <w:pStyle w:val="Compact"/>
            </w:pPr>
            <w:r>
              <w:rPr>
                <w:b/>
                <w:bCs/>
              </w:rPr>
              <w:t xml:space="preserve">Formula</w:t>
            </w:r>
          </w:p>
        </w:tc>
        <w:tc>
          <w:tcPr/>
          <w:p>
            <w:pPr>
              <w:pStyle w:val="Compact"/>
            </w:pPr>
            <w:r>
              <w:rPr>
                <w:rStyle w:val="VerbatimChar"/>
              </w:rPr>
              <w:t xml:space="preserve">total_cost_$ ÷ cooling_f</w:t>
            </w:r>
            <w:r>
              <w:t xml:space="preserve">, where</w:t>
            </w:r>
            <w:r>
              <w:t xml:space="preserve"> </w:t>
            </w:r>
            <w:r>
              <w:rPr>
                <w:rStyle w:val="VerbatimChar"/>
              </w:rPr>
              <w:t xml:space="preserve">cooling_f</w:t>
            </w:r>
            <w:r>
              <w:t xml:space="preserve"> </w:t>
            </w:r>
            <w:r>
              <w:t xml:space="preserve">is the °F delta (positive = cooler).</w:t>
            </w:r>
          </w:p>
        </w:tc>
      </w:tr>
      <w:tr>
        <w:tc>
          <w:tcPr/>
          <w:p>
            <w:pPr>
              <w:pStyle w:val="Compact"/>
            </w:pPr>
            <w:r>
              <w:rPr>
                <w:b/>
                <w:bCs/>
              </w:rPr>
              <w:t xml:space="preserve">Caveats</w:t>
            </w:r>
          </w:p>
        </w:tc>
        <w:tc>
          <w:tcPr/>
          <w:p>
            <w:pPr>
              <w:pStyle w:val="Compact"/>
            </w:pPr>
            <w:r>
              <w:t xml:space="preserve">N/A if the scenario is warmer than baseline. Inherits the ±2 °F uncertainty of the HM-to-temperature calibration.</w:t>
            </w:r>
          </w:p>
        </w:tc>
      </w:tr>
    </w:tbl>
    <w:p>
      <w:r>
        <w:pict>
          <v:rect style="width:0;height:1.5pt" o:hralign="center" o:hrstd="t" o:hr="t"/>
        </w:pict>
      </w:r>
    </w:p>
    <w:bookmarkEnd w:id="23"/>
    <w:bookmarkStart w:id="24" w:name="cost-1000-people-fed"/>
    <w:p>
      <w:pPr>
        <w:pStyle w:val="Heading3"/>
      </w:pPr>
      <w:r>
        <w:t xml:space="preserve">Cost / 1,000 People Fed</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Represents</w:t>
            </w:r>
          </w:p>
        </w:tc>
        <w:tc>
          <w:tcPr/>
          <w:p>
            <w:pPr>
              <w:pStyle w:val="Compact"/>
            </w:pPr>
            <w:r>
              <w:t xml:space="preserve">Implementation dollars spent per 1,000 people whose annual food needs could be met by the scenario’s food forest yield.</w:t>
            </w:r>
          </w:p>
        </w:tc>
      </w:tr>
      <w:tr>
        <w:tc>
          <w:tcPr/>
          <w:p>
            <w:pPr>
              <w:pStyle w:val="Compact"/>
            </w:pPr>
            <w:r>
              <w:rPr>
                <w:b/>
                <w:bCs/>
              </w:rPr>
              <w:t xml:space="preserve">Formula</w:t>
            </w:r>
          </w:p>
        </w:tc>
        <w:tc>
          <w:tcPr/>
          <w:p>
            <w:pPr>
              <w:pStyle w:val="Compact"/>
            </w:pPr>
            <w:r>
              <w:rPr>
                <w:rStyle w:val="VerbatimChar"/>
              </w:rPr>
              <w:t xml:space="preserve">total_cost_$ ÷ (people_fed ÷ 1,000)</w:t>
            </w:r>
            <w:r>
              <w:t xml:space="preserve">.</w:t>
            </w:r>
          </w:p>
        </w:tc>
      </w:tr>
      <w:tr>
        <w:tc>
          <w:tcPr/>
          <w:p>
            <w:pPr>
              <w:pStyle w:val="Compact"/>
            </w:pPr>
            <w:r>
              <w:rPr>
                <w:b/>
                <w:bCs/>
              </w:rPr>
              <w:t xml:space="preserve">Caveats</w:t>
            </w:r>
          </w:p>
        </w:tc>
        <w:tc>
          <w:tcPr/>
          <w:p>
            <w:pPr>
              <w:pStyle w:val="Compact"/>
            </w:pPr>
            <w:r>
              <w:t xml:space="preserve">N/A if no food forest pixels are present. Inherits the food yield benchmark uncertainty.</w:t>
            </w:r>
          </w:p>
        </w:tc>
      </w:tr>
    </w:tbl>
    <w:p>
      <w:r>
        <w:pict>
          <v:rect style="width:0;height:1.5pt" o:hralign="center" o:hrstd="t" o:hr="t"/>
        </w:pict>
      </w:r>
    </w:p>
    <w:bookmarkEnd w:id="24"/>
    <w:bookmarkEnd w:id="25"/>
    <w:bookmarkStart w:id="26" w:name="scenario-summary-text"/>
    <w:p>
      <w:pPr>
        <w:pStyle w:val="Heading2"/>
      </w:pPr>
      <w:r>
        <w:t xml:space="preserve">Scenario Summary Text</w:t>
      </w:r>
    </w:p>
    <w:p>
      <w:pPr>
        <w:pStyle w:val="FirstParagraph"/>
      </w:pPr>
      <w:r>
        <w:t xml:space="preserve">A plain-language summary of the current scenario settings, displayed below the metric cards. Automatically updates as sliders change.</w:t>
      </w:r>
    </w:p>
    <w:p>
      <w:pPr>
        <w:pStyle w:val="BlockText"/>
      </w:pPr>
      <w:r>
        <w:rPr>
          <w:i/>
          <w:iCs/>
        </w:rPr>
        <w:t xml:space="preserve">“This scenario converts X% of developed land, allocating Y% to green infrastructure, Z% to food forest, and W% to high-density development, [using random placement / prioritizing high heat-exposure areas].”</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Values</w:t>
            </w:r>
          </w:p>
        </w:tc>
        <w:tc>
          <w:tcPr/>
          <w:p>
            <w:pPr>
              <w:pStyle w:val="Compact"/>
            </w:pPr>
            <w:r>
              <w:t xml:space="preserve">Pulled directly from the current slider values (</w:t>
            </w:r>
            <w:r>
              <w:rPr>
                <w:rStyle w:val="VerbatimChar"/>
              </w:rPr>
              <w:t xml:space="preserve">pct_converted</w:t>
            </w:r>
            <w:r>
              <w:t xml:space="preserve">,</w:t>
            </w:r>
            <w:r>
              <w:t xml:space="preserve"> </w:t>
            </w:r>
            <w:r>
              <w:rPr>
                <w:rStyle w:val="VerbatimChar"/>
              </w:rPr>
              <w:t xml:space="preserve">green_infrastructure_pct</w:t>
            </w:r>
            <w:r>
              <w:t xml:space="preserve">,</w:t>
            </w:r>
            <w:r>
              <w:t xml:space="preserve"> </w:t>
            </w:r>
            <w:r>
              <w:rPr>
                <w:rStyle w:val="VerbatimChar"/>
              </w:rPr>
              <w:t xml:space="preserve">food_forest_pct</w:t>
            </w:r>
            <w:r>
              <w:t xml:space="preserve">,</w:t>
            </w:r>
            <w:r>
              <w:t xml:space="preserve"> </w:t>
            </w:r>
            <w:r>
              <w:rPr>
                <w:rStyle w:val="VerbatimChar"/>
              </w:rPr>
              <w:t xml:space="preserve">pct_highdensity</w:t>
            </w:r>
            <w:r>
              <w:t xml:space="preserve">).</w:t>
            </w:r>
          </w:p>
        </w:tc>
      </w:tr>
      <w:tr>
        <w:tc>
          <w:tcPr/>
          <w:p>
            <w:pPr>
              <w:pStyle w:val="Compact"/>
            </w:pPr>
            <w:r>
              <w:rPr>
                <w:b/>
                <w:bCs/>
              </w:rPr>
              <w:t xml:space="preserve">Placement mode</w:t>
            </w:r>
          </w:p>
        </w:tc>
        <w:tc>
          <w:tcPr/>
          <w:p>
            <w:pPr>
              <w:pStyle w:val="Compact"/>
            </w:pPr>
            <w:r>
              <w:t xml:space="preserve">“prioritizing high heat-exposure areas”</w:t>
            </w:r>
            <w:r>
              <w:t xml:space="preserve"> </w:t>
            </w:r>
            <w:r>
              <w:t xml:space="preserve">when the heat-priority toggle is on;</w:t>
            </w:r>
            <w:r>
              <w:t xml:space="preserve"> </w:t>
            </w:r>
            <w:r>
              <w:t xml:space="preserve">“using random placement”</w:t>
            </w:r>
            <w:r>
              <w:t xml:space="preserve"> </w:t>
            </w:r>
            <w:r>
              <w:t xml:space="preserve">otherwise.</w:t>
            </w:r>
          </w:p>
        </w:tc>
      </w:tr>
    </w:tbl>
    <w:p>
      <w:r>
        <w:pict>
          <v:rect style="width:0;height:1.5pt" o:hralign="center" o:hrstd="t" o:hr="t"/>
        </w:pict>
      </w:r>
    </w:p>
    <w:bookmarkEnd w:id="26"/>
    <w:bookmarkStart w:id="34" w:name="sidebar-controls"/>
    <w:p>
      <w:pPr>
        <w:pStyle w:val="Heading2"/>
      </w:pPr>
      <w:r>
        <w:t xml:space="preserve">Sidebar Controls</w:t>
      </w:r>
    </w:p>
    <w:bookmarkStart w:id="27" w:name="city"/>
    <w:p>
      <w:pPr>
        <w:pStyle w:val="Heading3"/>
      </w:pPr>
      <w:r>
        <w:t xml:space="preserve">City</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Type</w:t>
            </w:r>
          </w:p>
        </w:tc>
        <w:tc>
          <w:tcPr/>
          <w:p>
            <w:pPr>
              <w:pStyle w:val="Compact"/>
            </w:pPr>
            <w:r>
              <w:t xml:space="preserve">Selectbox</w:t>
            </w:r>
          </w:p>
        </w:tc>
      </w:tr>
      <w:tr>
        <w:tc>
          <w:tcPr/>
          <w:p>
            <w:pPr>
              <w:pStyle w:val="Compact"/>
            </w:pPr>
            <w:r>
              <w:rPr>
                <w:b/>
                <w:bCs/>
              </w:rPr>
              <w:t xml:space="preserve">Options</w:t>
            </w:r>
          </w:p>
        </w:tc>
        <w:tc>
          <w:tcPr/>
          <w:p>
            <w:pPr>
              <w:pStyle w:val="Compact"/>
            </w:pPr>
            <w:r>
              <w:t xml:space="preserve">All keys from the</w:t>
            </w:r>
            <w:r>
              <w:t xml:space="preserve"> </w:t>
            </w:r>
            <w:r>
              <w:rPr>
                <w:rStyle w:val="VerbatimChar"/>
              </w:rPr>
              <w:t xml:space="preserve">CITIES</w:t>
            </w:r>
            <w:r>
              <w:t xml:space="preserve"> </w:t>
            </w:r>
            <w:r>
              <w:t xml:space="preserve">dict; unavailable cities are labelled</w:t>
            </w:r>
            <w:r>
              <w:t xml:space="preserve"> </w:t>
            </w:r>
            <w:r>
              <w:t xml:space="preserve">“(coming soon)”</w:t>
            </w:r>
            <w:r>
              <w:t xml:space="preserve">.</w:t>
            </w:r>
          </w:p>
        </w:tc>
      </w:tr>
      <w:tr>
        <w:tc>
          <w:tcPr/>
          <w:p>
            <w:pPr>
              <w:pStyle w:val="Compact"/>
            </w:pPr>
            <w:r>
              <w:rPr>
                <w:b/>
                <w:bCs/>
              </w:rPr>
              <w:t xml:space="preserve">Effect</w:t>
            </w:r>
          </w:p>
        </w:tc>
        <w:tc>
          <w:tcPr/>
          <w:p>
            <w:pPr>
              <w:pStyle w:val="Compact"/>
            </w:pPr>
            <w:r>
              <w:t xml:space="preserve">Selecting an unavailable city shows a warning and keeps the app running with Minneapolis data. Selecting an available city sets data paths and baseline constants for all downstream computation.</w:t>
            </w:r>
          </w:p>
        </w:tc>
      </w:tr>
    </w:tbl>
    <w:p>
      <w:r>
        <w:pict>
          <v:rect style="width:0;height:1.5pt" o:hralign="center" o:hrstd="t" o:hr="t"/>
        </w:pict>
      </w:r>
    </w:p>
    <w:bookmarkEnd w:id="27"/>
    <w:bookmarkStart w:id="28" w:name="of-developed-land-to-convert"/>
    <w:p>
      <w:pPr>
        <w:pStyle w:val="Heading3"/>
      </w:pPr>
      <w:r>
        <w:t xml:space="preserve">% of Developed Land to Convert</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Type</w:t>
            </w:r>
          </w:p>
        </w:tc>
        <w:tc>
          <w:tcPr/>
          <w:p>
            <w:pPr>
              <w:pStyle w:val="Compact"/>
            </w:pPr>
            <w:r>
              <w:t xml:space="preserve">Slider, range 0–50, step 1</w:t>
            </w:r>
          </w:p>
        </w:tc>
      </w:tr>
      <w:tr>
        <w:tc>
          <w:tcPr/>
          <w:p>
            <w:pPr>
              <w:pStyle w:val="Compact"/>
            </w:pPr>
            <w:r>
              <w:rPr>
                <w:b/>
                <w:bCs/>
              </w:rPr>
              <w:t xml:space="preserve">Effect</w:t>
            </w:r>
          </w:p>
        </w:tc>
        <w:tc>
          <w:tcPr/>
          <w:p>
            <w:pPr>
              <w:pStyle w:val="Compact"/>
            </w:pPr>
            <w:r>
              <w:t xml:space="preserve">Determines how many developed pixels (NLCD 21/22/23) are randomly sampled for conversion. At 50%, half of all developed pixels are converted.</w:t>
            </w:r>
          </w:p>
        </w:tc>
      </w:tr>
      <w:tr>
        <w:tc>
          <w:tcPr/>
          <w:p>
            <w:pPr>
              <w:pStyle w:val="Compact"/>
            </w:pPr>
            <w:r>
              <w:rPr>
                <w:b/>
                <w:bCs/>
              </w:rPr>
              <w:t xml:space="preserve">Caveats</w:t>
            </w:r>
          </w:p>
        </w:tc>
        <w:tc>
          <w:tcPr/>
          <w:p>
            <w:pPr>
              <w:pStyle w:val="Compact"/>
            </w:pPr>
            <w:r>
              <w:t xml:space="preserve">Pixels are selected randomly across the city, or concentrated in high heat-exposure areas if that mode is on; spatial placement is not optimized for corridors or parcels.</w:t>
            </w:r>
          </w:p>
        </w:tc>
      </w:tr>
    </w:tbl>
    <w:p>
      <w:r>
        <w:pict>
          <v:rect style="width:0;height:1.5pt" o:hralign="center" o:hrstd="t" o:hr="t"/>
        </w:pict>
      </w:r>
    </w:p>
    <w:bookmarkEnd w:id="28"/>
    <w:bookmarkStart w:id="29" w:name="X9c690ec6fbca036e7a35955631a2d4edd57a06f"/>
    <w:p>
      <w:pPr>
        <w:pStyle w:val="Heading3"/>
      </w:pPr>
      <w:r>
        <w:t xml:space="preserve">Green Infrastructure % / Food Forest % / High Density %</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Type</w:t>
            </w:r>
          </w:p>
        </w:tc>
        <w:tc>
          <w:tcPr/>
          <w:p>
            <w:pPr>
              <w:pStyle w:val="Compact"/>
            </w:pPr>
            <w:r>
              <w:t xml:space="preserve">Number inputs, range 0–100, step 5; must sum to exactly 100</w:t>
            </w:r>
          </w:p>
        </w:tc>
      </w:tr>
      <w:tr>
        <w:tc>
          <w:tcPr/>
          <w:p>
            <w:pPr>
              <w:pStyle w:val="Compact"/>
            </w:pPr>
            <w:r>
              <w:rPr>
                <w:b/>
                <w:bCs/>
              </w:rPr>
              <w:t xml:space="preserve">Effect</w:t>
            </w:r>
          </w:p>
        </w:tc>
        <w:tc>
          <w:tcPr/>
          <w:p>
            <w:pPr>
              <w:pStyle w:val="Compact"/>
            </w:pPr>
            <w:r>
              <w:t xml:space="preserve">Splits the converted pixels into three groups. Green Infrastructure → NLCD 90 (woody wetlands). Food Forest → NLCD 41 (deciduous forest proxy). High Density → NLCD 24 (developed, high intensity). Note: Green Infrastructure here refers specifically to woody wetlands (NLCD 90), not the full range of GI interventions such as rain gardens, bioswales, permeable pavement, or green roofs.</w:t>
            </w:r>
          </w:p>
        </w:tc>
      </w:tr>
      <w:tr>
        <w:tc>
          <w:tcPr/>
          <w:p>
            <w:pPr>
              <w:pStyle w:val="Compact"/>
            </w:pPr>
            <w:r>
              <w:rPr>
                <w:b/>
                <w:bCs/>
              </w:rPr>
              <w:t xml:space="preserve">Caveats</w:t>
            </w:r>
          </w:p>
        </w:tc>
        <w:tc>
          <w:tcPr/>
          <w:p>
            <w:pPr>
              <w:pStyle w:val="Compact"/>
            </w:pPr>
            <w:r>
              <w:t xml:space="preserve">High Density auto-fills as the remainder but can be manually overridden. The app shows a warning and stops if the three values do not sum to 100.</w:t>
            </w:r>
          </w:p>
        </w:tc>
      </w:tr>
    </w:tbl>
    <w:p>
      <w:r>
        <w:pict>
          <v:rect style="width:0;height:1.5pt" o:hralign="center" o:hrstd="t" o:hr="t"/>
        </w:pict>
      </w:r>
    </w:p>
    <w:bookmarkEnd w:id="29"/>
    <w:bookmarkStart w:id="30" w:name="X01958c88ecbed7474534ce71c96b96136f2ed52"/>
    <w:p>
      <w:pPr>
        <w:pStyle w:val="Heading3"/>
      </w:pPr>
      <w:r>
        <w:t xml:space="preserve">Implementation Cost Sliders (Green Infrastructure / Food Forest / High Density Infill)</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Type</w:t>
            </w:r>
          </w:p>
        </w:tc>
        <w:tc>
          <w:tcPr/>
          <w:p>
            <w:pPr>
              <w:pStyle w:val="Compact"/>
            </w:pPr>
            <w:r>
              <w:t xml:space="preserve">Sliders; GI $5k–$150k (default $50k), FF $1k–$50k (default $10k), HD $1k–$50k (default $5k)</w:t>
            </w:r>
          </w:p>
        </w:tc>
      </w:tr>
      <w:tr>
        <w:tc>
          <w:tcPr/>
          <w:p>
            <w:pPr>
              <w:pStyle w:val="Compact"/>
            </w:pPr>
            <w:r>
              <w:rPr>
                <w:b/>
                <w:bCs/>
              </w:rPr>
              <w:t xml:space="preserve">Effect</w:t>
            </w:r>
          </w:p>
        </w:tc>
        <w:tc>
          <w:tcPr/>
          <w:p>
            <w:pPr>
              <w:pStyle w:val="Compact"/>
            </w:pPr>
            <w:r>
              <w:t xml:space="preserve">Scales the implementation cost calculation. Does not affect ecological outcomes (CN, HM, food).</w:t>
            </w:r>
          </w:p>
        </w:tc>
      </w:tr>
      <w:tr>
        <w:tc>
          <w:tcPr/>
          <w:p>
            <w:pPr>
              <w:pStyle w:val="Compact"/>
            </w:pPr>
            <w:r>
              <w:rPr>
                <w:b/>
                <w:bCs/>
              </w:rPr>
              <w:t xml:space="preserve">Caveats</w:t>
            </w:r>
          </w:p>
        </w:tc>
        <w:tc>
          <w:tcPr/>
          <w:p>
            <w:pPr>
              <w:pStyle w:val="Compact"/>
            </w:pPr>
            <w:r>
              <w:t xml:space="preserve">The lookup table is pre-computed at default costs; cost is recomputed from pixel counts and current slider values on every interaction.</w:t>
            </w:r>
          </w:p>
        </w:tc>
      </w:tr>
    </w:tbl>
    <w:p>
      <w:r>
        <w:pict>
          <v:rect style="width:0;height:1.5pt" o:hralign="center" o:hrstd="t" o:hr="t"/>
        </w:pict>
      </w:r>
    </w:p>
    <w:bookmarkEnd w:id="30"/>
    <w:bookmarkStart w:id="31" w:name="target-high-heat-exposure-areas-toggle"/>
    <w:p>
      <w:pPr>
        <w:pStyle w:val="Heading3"/>
      </w:pPr>
      <w:r>
        <w:t xml:space="preserve">Target High Heat-Exposure Areas (toggle)</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Type</w:t>
            </w:r>
          </w:p>
        </w:tc>
        <w:tc>
          <w:tcPr/>
          <w:p>
            <w:pPr>
              <w:pStyle w:val="Compact"/>
            </w:pPr>
            <w:r>
              <w:t xml:space="preserve">Toggle, default off; under subheader</w:t>
            </w:r>
            <w:r>
              <w:t xml:space="preserve"> </w:t>
            </w:r>
            <w:r>
              <w:t xml:space="preserve">“Spatial Priority”</w:t>
            </w:r>
          </w:p>
        </w:tc>
      </w:tr>
      <w:tr>
        <w:tc>
          <w:tcPr/>
          <w:p>
            <w:pPr>
              <w:pStyle w:val="Compact"/>
            </w:pPr>
            <w:r>
              <w:rPr>
                <w:b/>
                <w:bCs/>
              </w:rPr>
              <w:t xml:space="preserve">Effect</w:t>
            </w:r>
          </w:p>
        </w:tc>
        <w:tc>
          <w:tcPr/>
          <w:p>
            <w:pPr>
              <w:pStyle w:val="Compact"/>
            </w:pPr>
            <w:r>
              <w:t xml:space="preserve">When on, converted pixels are sampled with probability weights: NLCD 23 → 1.0, NLCD 22 → 0.6, NLCD 21 → 0.3. Concentrates interventions in higher-intensity developed areas.</w:t>
            </w:r>
          </w:p>
        </w:tc>
      </w:tr>
      <w:tr>
        <w:tc>
          <w:tcPr/>
          <w:p>
            <w:pPr>
              <w:pStyle w:val="Compact"/>
            </w:pPr>
            <w:r>
              <w:rPr>
                <w:b/>
                <w:bCs/>
              </w:rPr>
              <w:t xml:space="preserve">Caveats</w:t>
            </w:r>
          </w:p>
        </w:tc>
        <w:tc>
          <w:tcPr/>
          <w:p>
            <w:pPr>
              <w:pStyle w:val="Compact"/>
            </w:pPr>
            <w:r>
              <w:t xml:space="preserve">This is a development-intensity proxy (used as a heat-exposure approximation), not a measured temperature or socioeconomic vulnerability index. It approximates relative heat exposure but does not capture microclimate variation or population vulnerability. The lookup table (which uses uniform random placement) is bypassed in this mode; scenarios are computed live. Intended as a placeholder until CDC/ATSDR HVI data is integrated.</w:t>
            </w:r>
          </w:p>
        </w:tc>
      </w:tr>
    </w:tbl>
    <w:p>
      <w:r>
        <w:pict>
          <v:rect style="width:0;height:1.5pt" o:hralign="center" o:hrstd="t" o:hr="t"/>
        </w:pict>
      </w:r>
    </w:p>
    <w:bookmarkEnd w:id="31"/>
    <w:bookmarkStart w:id="32" w:name="example-scenario-buttons"/>
    <w:p>
      <w:pPr>
        <w:pStyle w:val="Heading3"/>
      </w:pPr>
      <w:r>
        <w:t xml:space="preserve">Example Scenario Buttons</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Button</w:t>
            </w:r>
          </w:p>
        </w:tc>
        <w:tc>
          <w:tcPr/>
          <w:p>
            <w:pPr>
              <w:pStyle w:val="Compact"/>
            </w:pPr>
            <w:r>
              <w:t xml:space="preserve">Sets</w:t>
            </w:r>
          </w:p>
        </w:tc>
      </w:tr>
      <w:tr>
        <w:tc>
          <w:tcPr/>
          <w:p>
            <w:pPr>
              <w:pStyle w:val="Compact"/>
            </w:pPr>
            <w:r>
              <w:t xml:space="preserve">🌳 Food Forest (Cooling + Food Focus)</w:t>
            </w:r>
          </w:p>
        </w:tc>
        <w:tc>
          <w:tcPr/>
          <w:p>
            <w:pPr>
              <w:pStyle w:val="Compact"/>
            </w:pPr>
            <w:r>
              <w:t xml:space="preserve">10% converted, 100% food forest</w:t>
            </w:r>
          </w:p>
        </w:tc>
      </w:tr>
      <w:tr>
        <w:tc>
          <w:tcPr/>
          <w:p>
            <w:pPr>
              <w:pStyle w:val="Compact"/>
            </w:pPr>
            <w:r>
              <w:t xml:space="preserve">🌊 Green Infrastructure (Flood Mitigation)</w:t>
            </w:r>
          </w:p>
        </w:tc>
        <w:tc>
          <w:tcPr/>
          <w:p>
            <w:pPr>
              <w:pStyle w:val="Compact"/>
            </w:pPr>
            <w:r>
              <w:t xml:space="preserve">10% converted, 100% green infrastructure</w:t>
            </w:r>
          </w:p>
        </w:tc>
      </w:tr>
      <w:tr>
        <w:tc>
          <w:tcPr/>
          <w:p>
            <w:pPr>
              <w:pStyle w:val="Compact"/>
            </w:pPr>
            <w:r>
              <w:t xml:space="preserve">🏙️ High Density Development</w:t>
            </w:r>
          </w:p>
        </w:tc>
        <w:tc>
          <w:tcPr/>
          <w:p>
            <w:pPr>
              <w:pStyle w:val="Compact"/>
            </w:pPr>
            <w:r>
              <w:t xml:space="preserve">10% converted, 100% high density</w:t>
            </w:r>
          </w:p>
        </w:tc>
      </w:tr>
    </w:tbl>
    <w:p>
      <w:pPr>
        <w:pStyle w:val="BodyText"/>
      </w:pPr>
      <w:r>
        <w:t xml:space="preserve">Buttons work by writing to</w:t>
      </w:r>
      <w:r>
        <w:t xml:space="preserve"> </w:t>
      </w:r>
      <w:r>
        <w:rPr>
          <w:rStyle w:val="VerbatimChar"/>
        </w:rPr>
        <w:t xml:space="preserve">st.session_state</w:t>
      </w:r>
      <w:r>
        <w:t xml:space="preserve"> </w:t>
      </w:r>
      <w:r>
        <w:t xml:space="preserve">and calling</w:t>
      </w:r>
      <w:r>
        <w:t xml:space="preserve"> </w:t>
      </w:r>
      <w:r>
        <w:rPr>
          <w:rStyle w:val="VerbatimChar"/>
        </w:rPr>
        <w:t xml:space="preserve">st.rerun()</w:t>
      </w:r>
      <w:r>
        <w:t xml:space="preserve">.</w:t>
      </w:r>
    </w:p>
    <w:p>
      <w:r>
        <w:pict>
          <v:rect style="width:0;height:1.5pt" o:hralign="center" o:hrstd="t" o:hr="t"/>
        </w:pict>
      </w:r>
    </w:p>
    <w:bookmarkEnd w:id="32"/>
    <w:bookmarkStart w:id="33" w:name="smart-scenario-search-surrogate-model"/>
    <w:p>
      <w:pPr>
        <w:pStyle w:val="Heading3"/>
      </w:pPr>
      <w:r>
        <w:t xml:space="preserve">Smart Scenario Search (Surrogate Model)</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Control</w:t>
            </w:r>
          </w:p>
        </w:tc>
        <w:tc>
          <w:tcPr/>
          <w:p>
            <w:pPr>
              <w:pStyle w:val="Compact"/>
            </w:pPr>
            <w:r>
              <w:t xml:space="preserve">Detail</w:t>
            </w:r>
          </w:p>
        </w:tc>
      </w:tr>
      <w:tr>
        <w:tc>
          <w:tcPr/>
          <w:p>
            <w:pPr>
              <w:pStyle w:val="Compact"/>
            </w:pPr>
            <w:r>
              <w:rPr>
                <w:b/>
                <w:bCs/>
              </w:rPr>
              <w:t xml:space="preserve">Min flood reduction</w:t>
            </w:r>
          </w:p>
        </w:tc>
        <w:tc>
          <w:tcPr/>
          <w:p>
            <w:pPr>
              <w:pStyle w:val="Compact"/>
            </w:pPr>
            <w:r>
              <w:t xml:space="preserve">Slider 0–90, step 5. Minimum acceptable Flood Risk Reduction index.</w:t>
            </w:r>
          </w:p>
        </w:tc>
      </w:tr>
      <w:tr>
        <w:tc>
          <w:tcPr/>
          <w:p>
            <w:pPr>
              <w:pStyle w:val="Compact"/>
            </w:pPr>
            <w:r>
              <w:rPr>
                <w:b/>
                <w:bCs/>
              </w:rPr>
              <w:t xml:space="preserve">Min cooling (°F vs baseline)</w:t>
            </w:r>
          </w:p>
        </w:tc>
        <w:tc>
          <w:tcPr/>
          <w:p>
            <w:pPr>
              <w:pStyle w:val="Compact"/>
            </w:pPr>
            <w:r>
              <w:t xml:space="preserve">Slider −1.0 to ~3.0°F, step 0.1, default 0.1°F. Minimum acceptable temperature improvement vs baseline. Converted to HM units internally via</w:t>
            </w:r>
            <w:r>
              <w:t xml:space="preserve"> </w:t>
            </w:r>
            <w:r>
              <w:rPr>
                <w:rStyle w:val="VerbatimChar"/>
              </w:rPr>
              <w:t xml:space="preserve">BASELINE_HM + min_cool_f / 4.0</w:t>
            </w:r>
            <w:r>
              <w:t xml:space="preserve"> </w:t>
            </w:r>
            <w:r>
              <w:t xml:space="preserve">before being passed to the surrogate. Note: HM 0.30 ≈ 0.1°F cooler than baseline.</w:t>
            </w:r>
          </w:p>
        </w:tc>
      </w:tr>
      <w:tr>
        <w:tc>
          <w:tcPr/>
          <w:p>
            <w:pPr>
              <w:pStyle w:val="Compact"/>
            </w:pPr>
            <w:r>
              <w:rPr>
                <w:b/>
                <w:bCs/>
              </w:rPr>
              <w:t xml:space="preserve">Min food production (M lbs)</w:t>
            </w:r>
          </w:p>
        </w:tc>
        <w:tc>
          <w:tcPr/>
          <w:p>
            <w:pPr>
              <w:pStyle w:val="Compact"/>
            </w:pPr>
            <w:r>
              <w:t xml:space="preserve">Slider 0.0–MAX_FOOD, step 0.01. Minimum acceptable food production.</w:t>
            </w:r>
          </w:p>
        </w:tc>
      </w:tr>
      <w:tr>
        <w:tc>
          <w:tcPr/>
          <w:p>
            <w:pPr>
              <w:pStyle w:val="Compact"/>
            </w:pPr>
            <w:r>
              <w:rPr>
                <w:b/>
                <w:bCs/>
              </w:rPr>
              <w:t xml:space="preserve">Optimize button</w:t>
            </w:r>
          </w:p>
        </w:tc>
        <w:tc>
          <w:tcPr/>
          <w:p>
            <w:pPr>
              <w:pStyle w:val="Compact"/>
            </w:pPr>
            <w:r>
              <w:t xml:space="preserve">Samples ~10,000 random (pct, GI%, FF%) combinations, predicts outcomes with the RF surrogate, filters to those meeting all three minimums, computes the Pareto front, de-duplicates near-identical points, and returns up to 5 top suggestions ranked by a balanced score:</w:t>
            </w:r>
            <w:r>
              <w:t xml:space="preserve"> </w:t>
            </w:r>
            <w:r>
              <w:rPr>
                <w:rStyle w:val="VerbatimChar"/>
              </w:rPr>
              <w:t xml:space="preserve">flood/100 + HM/1.1 + food/MAX_FOOD</w:t>
            </w:r>
            <w:r>
              <w:t xml:space="preserve">.</w:t>
            </w:r>
          </w:p>
        </w:tc>
      </w:tr>
    </w:tbl>
    <w:p>
      <w:pPr>
        <w:pStyle w:val="BodyText"/>
      </w:pPr>
      <w:r>
        <w:t xml:space="preserve">Most slider interactions use a dense precomputed lookup table (2,541 entries) for near-instant response. The surrogate model is separate and is used specifically for the optimizer’s rapid scenario search.</w:t>
      </w:r>
    </w:p>
    <w:tbl>
      <w:tblPr>
        <w:tblStyle w:val="Table"/>
        <w:tblW w:type="pct" w:w="5000"/>
        <w:tblLayout w:type="fixed"/>
        <w:tblLook w:firstRow="1" w:lastRow="0" w:firstColumn="0" w:lastColumn="0" w:noHBand="0" w:noVBand="0" w:val="0020"/>
      </w:tblPr>
      <w:tblGrid>
        <w:gridCol w:w="2410"/>
        <w:gridCol w:w="3099"/>
        <w:gridCol w:w="2410"/>
      </w:tblGrid>
      <w:tr>
        <w:trPr>
          <w:tblHeader w:val="on"/>
        </w:trPr>
        <w:tc>
          <w:tcPr/>
          <w:p>
            <w:pPr>
              <w:pStyle w:val="Compact"/>
            </w:pPr>
            <w:r>
              <w:t xml:space="preserve">Layer</w:t>
            </w:r>
          </w:p>
        </w:tc>
        <w:tc>
          <w:tcPr/>
          <w:p>
            <w:pPr>
              <w:pStyle w:val="Compact"/>
            </w:pPr>
            <w:r>
              <w:t xml:space="preserve">Purpose</w:t>
            </w:r>
          </w:p>
        </w:tc>
        <w:tc>
          <w:tcPr/>
          <w:p>
            <w:pPr>
              <w:pStyle w:val="Compact"/>
            </w:pPr>
            <w:r>
              <w:t xml:space="preserve">Scale</w:t>
            </w:r>
          </w:p>
        </w:tc>
      </w:tr>
      <w:tr>
        <w:tc>
          <w:tcPr/>
          <w:p>
            <w:pPr>
              <w:pStyle w:val="Compact"/>
            </w:pPr>
            <w:r>
              <w:t xml:space="preserve">Full raster simulations</w:t>
            </w:r>
          </w:p>
        </w:tc>
        <w:tc>
          <w:tcPr/>
          <w:p>
            <w:pPr>
              <w:pStyle w:val="Compact"/>
            </w:pPr>
            <w:r>
              <w:t xml:space="preserve">Generate training data for the surrogate</w:t>
            </w:r>
          </w:p>
        </w:tc>
        <w:tc>
          <w:tcPr/>
          <w:p>
            <w:pPr>
              <w:pStyle w:val="Compact"/>
            </w:pPr>
            <w:r>
              <w:t xml:space="preserve">90 scenarios (6 conversion levels × 15 allocation combinations)</w:t>
            </w:r>
          </w:p>
        </w:tc>
      </w:tr>
      <w:tr>
        <w:tc>
          <w:tcPr/>
          <w:p>
            <w:pPr>
              <w:pStyle w:val="Compact"/>
            </w:pPr>
            <w:r>
              <w:t xml:space="preserve">Dense lookup table</w:t>
            </w:r>
          </w:p>
        </w:tc>
        <w:tc>
          <w:tcPr/>
          <w:p>
            <w:pPr>
              <w:pStyle w:val="Compact"/>
            </w:pPr>
            <w:r>
              <w:t xml:space="preserve">Fast interactive slider response</w:t>
            </w:r>
          </w:p>
        </w:tc>
        <w:tc>
          <w:tcPr/>
          <w:p>
            <w:pPr>
              <w:pStyle w:val="Compact"/>
            </w:pPr>
            <w:r>
              <w:t xml:space="preserve">2,541 pre-computed entries</w:t>
            </w:r>
          </w:p>
        </w:tc>
      </w:tr>
      <w:tr>
        <w:tc>
          <w:tcPr/>
          <w:p>
            <w:pPr>
              <w:pStyle w:val="Compact"/>
            </w:pPr>
            <w:r>
              <w:t xml:space="preserve">RF surrogate + optimizer</w:t>
            </w:r>
          </w:p>
        </w:tc>
        <w:tc>
          <w:tcPr/>
          <w:p>
            <w:pPr>
              <w:pStyle w:val="Compact"/>
            </w:pPr>
            <w:r>
              <w:t xml:space="preserve">Rapid scenario search at query time</w:t>
            </w:r>
          </w:p>
        </w:tc>
        <w:tc>
          <w:tcPr/>
          <w:p>
            <w:pPr>
              <w:pStyle w:val="Compact"/>
            </w:pPr>
            <w:r>
              <w:t xml:space="preserve">Predicts ~10,000 random samples per search</w:t>
            </w:r>
          </w:p>
        </w:tc>
      </w:tr>
    </w:tbl>
    <w:p>
      <w:pPr>
        <w:pStyle w:val="BodyText"/>
      </w:pPr>
      <w:r>
        <w:rPr>
          <w:b/>
          <w:bCs/>
        </w:rPr>
        <w:t xml:space="preserve">Why use a Surrogate? (The Speed Factor)</w:t>
      </w:r>
      <w:r>
        <w:t xml:space="preserve"> </w:t>
      </w:r>
      <w:r>
        <w:t xml:space="preserve">The surrogate model is trained on 90 full-resolution raster simulations spanning different land-use allocations. It learns the main relationships between land-use allocation, runoff, cooling, and food production, then rapidly estimates outcomes for new combinations without rerunning the full pixel-by-pixel model each time. This enables interactive exploration of ~10,000 candidate scenarios in under a second while remaining grounded in the detailed raster simulations.</w:t>
      </w:r>
    </w:p>
    <w:p>
      <w:pPr>
        <w:pStyle w:val="BodyText"/>
      </w:pPr>
      <w:r>
        <w:rPr>
          <w:b/>
          <w:bCs/>
        </w:rPr>
        <w:t xml:space="preserve">How it thinks (Pattern Recognition)</w:t>
      </w:r>
      <w:r>
        <w:t xml:space="preserve"> </w:t>
      </w:r>
      <w:r>
        <w:t xml:space="preserve">The surrogate uses a Random Forest regression model — an ensemble of many decision trees, which can be thought of as learned flowcharts built from 90 precomputed full-resolution simulations spanning different land-use allocations. Each tree learns patterns in how land-use allocations affect runoff, cooling, and food production.</w:t>
      </w:r>
    </w:p>
    <w:p>
      <w:pPr>
        <w:pStyle w:val="BodyText"/>
      </w:pPr>
      <w:r>
        <w:t xml:space="preserve">For a new scenario, each tree generates an independent estimate based on learned threshold rules (for example, how outcomes change when green infrastructure exceeds a certain percentage). The forest then combines those estimates into a final prediction and uncertainty range.</w:t>
      </w:r>
    </w:p>
    <w:p>
      <w:pPr>
        <w:pStyle w:val="BodyText"/>
      </w:pPr>
      <w:r>
        <w:t xml:space="preserve">The surrogate does not replace the underlying raster model; it approximates the relationships learned from those full-resolution simulations to enable rapid exploration of new scenarios.</w:t>
      </w:r>
    </w:p>
    <w:p>
      <w:pPr>
        <w:pStyle w:val="BodyText"/>
      </w:pPr>
      <w:r>
        <w:t xml:space="preserve">At optimization time, the app generates ~10,000 random candidate scenarios and evaluates them using the surrogate model rather than the full raster simulation. This allows rapid exploration of the scenario space while keeping computation interactive. Only candidates meeting all three user-specified minimum thresholds are retained, and the top results are returned ranked by a balanced score across flood, cooling, and food metrics.</w:t>
      </w:r>
    </w:p>
    <w:p>
      <w:pPr>
        <w:pStyle w:val="Compact"/>
        <w:numPr>
          <w:ilvl w:val="0"/>
          <w:numId w:val="1002"/>
        </w:numPr>
      </w:pPr>
      <w:r>
        <w:rPr>
          <w:b/>
          <w:bCs/>
        </w:rPr>
        <w:t xml:space="preserve">The Prediction:</w:t>
      </w:r>
      <w:r>
        <w:t xml:space="preserve"> </w:t>
      </w:r>
      <w:r>
        <w:t xml:space="preserve">The average across all trees.</w:t>
      </w:r>
    </w:p>
    <w:p>
      <w:pPr>
        <w:pStyle w:val="Compact"/>
        <w:numPr>
          <w:ilvl w:val="0"/>
          <w:numId w:val="1002"/>
        </w:numPr>
      </w:pPr>
      <w:r>
        <w:rPr>
          <w:b/>
          <w:bCs/>
        </w:rPr>
        <w:t xml:space="preserve">The Uncertainty (Error Bars):</w:t>
      </w:r>
      <w:r>
        <w:t xml:space="preserve"> </w:t>
      </w:r>
      <w:r>
        <w:t xml:space="preserve">When all trees agree, error bars are small. When they disagree significantly, error bars grow — signalling that the model is extrapolating into territory it has seen little of during training.</w:t>
      </w:r>
    </w:p>
    <w:p>
      <w:pPr>
        <w:pStyle w:val="FirstParagraph"/>
      </w:pPr>
      <w:r>
        <w:rPr>
          <w:b/>
          <w:bCs/>
        </w:rPr>
        <w:t xml:space="preserve">How to read the Optimizer results</w:t>
      </w:r>
      <w:r>
        <w:t xml:space="preserve"> </w:t>
      </w:r>
      <w:r>
        <w:t xml:space="preserve">-</w:t>
      </w:r>
      <w:r>
        <w:t xml:space="preserve"> </w:t>
      </w:r>
      <w:r>
        <w:rPr>
          <w:b/>
          <w:bCs/>
        </w:rPr>
        <w:t xml:space="preserve">The Diamonds:</w:t>
      </w:r>
      <w:r>
        <w:t xml:space="preserve"> </w:t>
      </w:r>
      <w:r>
        <w:t xml:space="preserve">The most likely outcome predicted by the surrogate for each suggested scenario.</w:t>
      </w:r>
      <w:r>
        <w:t xml:space="preserve"> </w:t>
      </w:r>
      <w:r>
        <w:t xml:space="preserve">-</w:t>
      </w:r>
      <w:r>
        <w:t xml:space="preserve"> </w:t>
      </w:r>
      <w:r>
        <w:rPr>
          <w:b/>
          <w:bCs/>
        </w:rPr>
        <w:t xml:space="preserve">The Uncertainty Bars:</w:t>
      </w:r>
      <w:r>
        <w:t xml:space="preserve"> </w:t>
      </w:r>
      <w:r>
        <w:t xml:space="preserve">The spread of predictions from the model’s internal decision trees. A wider bar means the model is less certain about that specific outcome. If a diamond appears to meet your minimum goals but its uncertainty bars cross the threshold line, there is a meaningful chance that scenario could underperform in a full simulation.</w:t>
      </w:r>
      <w:r>
        <w:t xml:space="preserve"> </w:t>
      </w:r>
      <w:r>
        <w:t xml:space="preserve">-</w:t>
      </w:r>
      <w:r>
        <w:t xml:space="preserve"> </w:t>
      </w:r>
      <w:r>
        <w:rPr>
          <w:b/>
          <w:bCs/>
        </w:rPr>
        <w:t xml:space="preserve">Key caveat:</w:t>
      </w:r>
      <w:r>
        <w:t xml:space="preserve"> </w:t>
      </w:r>
      <w:r>
        <w:t xml:space="preserve">The optimizer is intended to identify promising regions of the scenario space — the most efficient tradeoffs, not a single best answer. Always verify suggestions using the main sliders.</w:t>
      </w:r>
      <w:r>
        <w:t xml:space="preserve"> </w:t>
      </w:r>
      <w:r>
        <w:t xml:space="preserve">-</w:t>
      </w:r>
      <w:r>
        <w:t xml:space="preserve"> </w:t>
      </w:r>
      <w:r>
        <w:rPr>
          <w:b/>
          <w:bCs/>
        </w:rPr>
        <w:t xml:space="preserve">High Density artifacts:</w:t>
      </w:r>
      <w:r>
        <w:t xml:space="preserve"> </w:t>
      </w:r>
      <w:r>
        <w:t xml:space="preserve">Suggestions containing small amounts of High Density development (e.g. 2–10%) may reflect surrogate approximation error rather than a genuine optimum — verify by setting High Density to 0% when applying suggestions.</w:t>
      </w:r>
      <w:r>
        <w:t xml:space="preserve"> </w:t>
      </w:r>
      <w:r>
        <w:t xml:space="preserve">-</w:t>
      </w:r>
      <w:r>
        <w:t xml:space="preserve"> </w:t>
      </w:r>
      <w:r>
        <w:rPr>
          <w:b/>
          <w:bCs/>
        </w:rPr>
        <w:t xml:space="preserve">When to Verify:</w:t>
      </w:r>
      <w:r>
        <w:t xml:space="preserve"> </w:t>
      </w:r>
      <w:r>
        <w:t xml:space="preserve">Once you find a promising scenario in the optimizer, manually set the main sliders to those exact values. This runs the full pixel-by-pixel biophysical calculation — not the surrogate approximation — and gives you the full pixel-by-pixel model results rather than the surrogate approximation.</w:t>
      </w:r>
    </w:p>
    <w:p>
      <w:r>
        <w:pict>
          <v:rect style="width:0;height:1.5pt" o:hralign="center" o:hrstd="t" o:hr="t"/>
        </w:pict>
      </w:r>
    </w:p>
    <w:bookmarkEnd w:id="33"/>
    <w:bookmarkEnd w:id="34"/>
    <w:bookmarkStart w:id="43" w:name="tradeoff-chart-tradeoff-analysis-tab"/>
    <w:p>
      <w:pPr>
        <w:pStyle w:val="Heading2"/>
      </w:pPr>
      <w:r>
        <w:t xml:space="preserve">Tradeoff Chart (Tradeoff Analysis tab)</w:t>
      </w:r>
    </w:p>
    <w:p>
      <w:pPr>
        <w:pStyle w:val="FirstParagraph"/>
      </w:pPr>
      <w:r>
        <w:t xml:space="preserve">Built with Plotly. X and Y axes show the two primary ecological metrics; bubble size encodes food production for saved and optimized scenarios only.</w:t>
      </w:r>
    </w:p>
    <w:bookmarkStart w:id="35" w:name="axes"/>
    <w:p>
      <w:pPr>
        <w:pStyle w:val="Heading3"/>
      </w:pPr>
      <w:r>
        <w:t xml:space="preserve">Axes</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Element</w:t>
            </w:r>
          </w:p>
        </w:tc>
        <w:tc>
          <w:tcPr/>
          <w:p>
            <w:pPr>
              <w:pStyle w:val="Compact"/>
            </w:pPr>
            <w:r>
              <w:t xml:space="preserve">Detail</w:t>
            </w:r>
          </w:p>
        </w:tc>
      </w:tr>
      <w:tr>
        <w:tc>
          <w:tcPr/>
          <w:p>
            <w:pPr>
              <w:pStyle w:val="Compact"/>
            </w:pPr>
            <w:r>
              <w:rPr>
                <w:b/>
                <w:bCs/>
              </w:rPr>
              <w:t xml:space="preserve">X-axis: Flood Risk Reduction</w:t>
            </w:r>
          </w:p>
        </w:tc>
        <w:tc>
          <w:tcPr/>
          <w:p>
            <w:pPr>
              <w:pStyle w:val="Compact"/>
            </w:pPr>
            <w:r>
              <w:rPr>
                <w:rStyle w:val="VerbatimChar"/>
              </w:rPr>
              <w:t xml:space="preserve">100 − mean_CN</w:t>
            </w:r>
            <w:r>
              <w:t xml:space="preserve">. Range fixed 0–100. Higher = better.</w:t>
            </w:r>
          </w:p>
        </w:tc>
      </w:tr>
      <w:tr>
        <w:tc>
          <w:tcPr/>
          <w:p>
            <w:pPr>
              <w:pStyle w:val="Compact"/>
            </w:pPr>
            <w:r>
              <w:rPr>
                <w:b/>
                <w:bCs/>
              </w:rPr>
              <w:t xml:space="preserve">Y-axis: Heat Mitigation Index</w:t>
            </w:r>
          </w:p>
        </w:tc>
        <w:tc>
          <w:tcPr/>
          <w:p>
            <w:pPr>
              <w:pStyle w:val="Compact"/>
            </w:pPr>
            <w:r>
              <w:t xml:space="preserve">Mean HM across all pixels. Range fixed 0–1.1. Higher = better (more cooling potential). Note: this is the raw HM value, not the °F delta shown in the metric card.</w:t>
            </w:r>
          </w:p>
        </w:tc>
      </w:tr>
    </w:tbl>
    <w:p>
      <w:r>
        <w:pict>
          <v:rect style="width:0;height:1.5pt" o:hralign="center" o:hrstd="t" o:hr="t"/>
        </w:pict>
      </w:r>
    </w:p>
    <w:bookmarkEnd w:id="35"/>
    <w:bookmarkStart w:id="36" w:name="reference-benchmarks-colored-markers"/>
    <w:p>
      <w:pPr>
        <w:pStyle w:val="Heading3"/>
      </w:pPr>
      <w:r>
        <w:t xml:space="preserve">Reference Benchmarks (colored markers)</w:t>
      </w:r>
    </w:p>
    <w:p>
      <w:pPr>
        <w:pStyle w:val="FirstParagraph"/>
      </w:pPr>
      <w:r>
        <w:t xml:space="preserve">Four fixed points representing extreme all-one-landcover scenarios for Minneapolis. Stored in</w:t>
      </w:r>
      <w:r>
        <w:t xml:space="preserve"> </w:t>
      </w:r>
      <w:r>
        <w:rPr>
          <w:rStyle w:val="VerbatimChar"/>
        </w:rPr>
        <w:t xml:space="preserve">city_cfg['ref_scenarios']</w:t>
      </w:r>
      <w:r>
        <w:t xml:space="preserve"> </w:t>
      </w:r>
      <w:r>
        <w:t xml:space="preserve">and set as</w:t>
      </w:r>
      <w:r>
        <w:t xml:space="preserve"> </w:t>
      </w:r>
      <w:r>
        <w:rPr>
          <w:rStyle w:val="VerbatimChar"/>
        </w:rPr>
        <w:t xml:space="preserve">REF_SCENARIOS</w:t>
      </w:r>
      <w:r>
        <w:t xml:space="preserve"> </w:t>
      </w:r>
      <w:r>
        <w:t xml:space="preserve">at runtime.</w:t>
      </w:r>
      <w:r>
        <w:t xml:space="preserve"> </w:t>
      </w:r>
      <w:r>
        <w:rPr>
          <w:b/>
          <w:bCs/>
        </w:rPr>
        <w:t xml:space="preserve">These values are specific to Minneapolis 2021 NLCD data and will differ for other cities</w:t>
      </w:r>
      <w:r>
        <w:t xml:space="preserve"> </w:t>
      </w:r>
      <w:r>
        <w:t xml:space="preserve">— each city added to the</w:t>
      </w:r>
      <w:r>
        <w:t xml:space="preserve"> </w:t>
      </w:r>
      <w:r>
        <w:rPr>
          <w:rStyle w:val="VerbatimChar"/>
        </w:rPr>
        <w:t xml:space="preserve">CITIES</w:t>
      </w:r>
      <w:r>
        <w:t xml:space="preserve"> </w:t>
      </w:r>
      <w:r>
        <w:t xml:space="preserve">dict must supply its own benchmark values.</w:t>
      </w:r>
    </w:p>
    <w:tbl>
      <w:tblPr>
        <w:tblStyle w:val="Table"/>
        <w:tblW w:type="pct" w:w="5000"/>
        <w:tblLayout w:type="fixed"/>
        <w:tblLook w:firstRow="1" w:lastRow="0" w:firstColumn="0" w:lastColumn="0" w:noHBand="0" w:noVBand="0" w:val="0020"/>
      </w:tblPr>
      <w:tblGrid>
        <w:gridCol w:w="2292"/>
        <w:gridCol w:w="1458"/>
        <w:gridCol w:w="833"/>
        <w:gridCol w:w="3334"/>
      </w:tblGrid>
      <w:tr>
        <w:trPr>
          <w:tblHeader w:val="on"/>
        </w:trPr>
        <w:tc>
          <w:tcPr/>
          <w:p>
            <w:pPr>
              <w:pStyle w:val="Compact"/>
            </w:pPr>
            <w:r>
              <w:t xml:space="preserve">Benchmark</w:t>
            </w:r>
          </w:p>
        </w:tc>
        <w:tc>
          <w:tcPr/>
          <w:p>
            <w:pPr>
              <w:pStyle w:val="Compact"/>
            </w:pPr>
            <w:r>
              <w:t xml:space="preserve">Flood</w:t>
            </w:r>
          </w:p>
        </w:tc>
        <w:tc>
          <w:tcPr/>
          <w:p>
            <w:pPr>
              <w:pStyle w:val="Compact"/>
            </w:pPr>
            <w:r>
              <w:t xml:space="preserve">HM</w:t>
            </w:r>
          </w:p>
        </w:tc>
        <w:tc>
          <w:tcPr/>
          <w:p>
            <w:pPr>
              <w:pStyle w:val="Compact"/>
            </w:pPr>
            <w:r>
              <w:t xml:space="preserve">Interpretation</w:t>
            </w:r>
          </w:p>
        </w:tc>
      </w:tr>
      <w:tr>
        <w:tc>
          <w:tcPr/>
          <w:p>
            <w:pPr>
              <w:pStyle w:val="Compact"/>
            </w:pPr>
            <w:r>
              <w:t xml:space="preserve">Baseline</w:t>
            </w:r>
          </w:p>
        </w:tc>
        <w:tc>
          <w:tcPr/>
          <w:p>
            <w:pPr>
              <w:pStyle w:val="Compact"/>
            </w:pPr>
            <w:r>
              <w:t xml:space="preserve">24.3</w:t>
            </w:r>
          </w:p>
        </w:tc>
        <w:tc>
          <w:tcPr/>
          <w:p>
            <w:pPr>
              <w:pStyle w:val="Compact"/>
            </w:pPr>
            <w:r>
              <w:t xml:space="preserve">0.2719</w:t>
            </w:r>
          </w:p>
        </w:tc>
        <w:tc>
          <w:tcPr/>
          <w:p>
            <w:pPr>
              <w:pStyle w:val="Compact"/>
            </w:pPr>
            <w:r>
              <w:t xml:space="preserve">Current unmodified land cover</w:t>
            </w:r>
          </w:p>
        </w:tc>
      </w:tr>
      <w:tr>
        <w:tc>
          <w:tcPr/>
          <w:p>
            <w:pPr>
              <w:pStyle w:val="Compact"/>
            </w:pPr>
            <w:r>
              <w:t xml:space="preserve">All Food Forest (NLCD 41)</w:t>
            </w:r>
          </w:p>
        </w:tc>
        <w:tc>
          <w:tcPr/>
          <w:p>
            <w:pPr>
              <w:pStyle w:val="Compact"/>
            </w:pPr>
            <w:r>
              <w:t xml:space="preserve">29.9</w:t>
            </w:r>
          </w:p>
        </w:tc>
        <w:tc>
          <w:tcPr/>
          <w:p>
            <w:pPr>
              <w:pStyle w:val="Compact"/>
            </w:pPr>
            <w:r>
              <w:t xml:space="preserve">0.8284</w:t>
            </w:r>
          </w:p>
        </w:tc>
        <w:tc>
          <w:tcPr/>
          <w:p>
            <w:pPr>
              <w:pStyle w:val="Compact"/>
            </w:pPr>
            <w:r>
              <w:t xml:space="preserve">Every developed pixel → deciduous forest</w:t>
            </w:r>
          </w:p>
        </w:tc>
      </w:tr>
      <w:tr>
        <w:tc>
          <w:tcPr/>
          <w:p>
            <w:pPr>
              <w:pStyle w:val="Compact"/>
            </w:pPr>
            <w:r>
              <w:t xml:space="preserve">All Green Infra (NLCD 90)</w:t>
            </w:r>
          </w:p>
        </w:tc>
        <w:tc>
          <w:tcPr/>
          <w:p>
            <w:pPr>
              <w:pStyle w:val="Compact"/>
            </w:pPr>
            <w:r>
              <w:t xml:space="preserve">83.0</w:t>
            </w:r>
          </w:p>
        </w:tc>
        <w:tc>
          <w:tcPr/>
          <w:p>
            <w:pPr>
              <w:pStyle w:val="Compact"/>
            </w:pPr>
            <w:r>
              <w:t xml:space="preserve">0.8633</w:t>
            </w:r>
          </w:p>
        </w:tc>
        <w:tc>
          <w:tcPr/>
          <w:p>
            <w:pPr>
              <w:pStyle w:val="Compact"/>
            </w:pPr>
            <w:r>
              <w:t xml:space="preserve">Every developed pixel → woody wetlands</w:t>
            </w:r>
          </w:p>
        </w:tc>
      </w:tr>
      <w:tr>
        <w:tc>
          <w:tcPr/>
          <w:p>
            <w:pPr>
              <w:pStyle w:val="Compact"/>
            </w:pPr>
            <w:r>
              <w:t xml:space="preserve">All High Density (NLCD 24)</w:t>
            </w:r>
          </w:p>
        </w:tc>
        <w:tc>
          <w:tcPr/>
          <w:p>
            <w:pPr>
              <w:pStyle w:val="Compact"/>
            </w:pPr>
            <w:r>
              <w:t xml:space="preserve">18.8</w:t>
            </w:r>
          </w:p>
        </w:tc>
        <w:tc>
          <w:tcPr/>
          <w:p>
            <w:pPr>
              <w:pStyle w:val="Compact"/>
            </w:pPr>
            <w:r>
              <w:t xml:space="preserve">0.1923</w:t>
            </w:r>
          </w:p>
        </w:tc>
        <w:tc>
          <w:tcPr/>
          <w:p>
            <w:pPr>
              <w:pStyle w:val="Compact"/>
            </w:pPr>
            <w:r>
              <w:t xml:space="preserve">Every developed pixel → high-intensity development</w:t>
            </w:r>
          </w:p>
        </w:tc>
      </w:tr>
    </w:tbl>
    <w:p>
      <w:r>
        <w:pict>
          <v:rect style="width:0;height:1.5pt" o:hralign="center" o:hrstd="t" o:hr="t"/>
        </w:pict>
      </w:r>
    </w:p>
    <w:bookmarkEnd w:id="36"/>
    <w:bookmarkStart w:id="37" w:name="convex-hull-feasible-space"/>
    <w:p>
      <w:pPr>
        <w:pStyle w:val="Heading3"/>
      </w:pPr>
      <w:r>
        <w:t xml:space="preserve">Convex Hull (feasible space)</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Element</w:t>
            </w:r>
          </w:p>
        </w:tc>
        <w:tc>
          <w:tcPr/>
          <w:p>
            <w:pPr>
              <w:pStyle w:val="Compact"/>
            </w:pPr>
            <w:r>
              <w:t xml:space="preserve">Detail</w:t>
            </w:r>
          </w:p>
        </w:tc>
      </w:tr>
      <w:tr>
        <w:tc>
          <w:tcPr/>
          <w:p>
            <w:pPr>
              <w:pStyle w:val="Compact"/>
            </w:pPr>
            <w:r>
              <w:rPr>
                <w:b/>
                <w:bCs/>
              </w:rPr>
              <w:t xml:space="preserve">Represents</w:t>
            </w:r>
          </w:p>
        </w:tc>
        <w:tc>
          <w:tcPr/>
          <w:p>
            <w:pPr>
              <w:pStyle w:val="Compact"/>
            </w:pPr>
            <w:r>
              <w:t xml:space="preserve">The boundary of all outcomes reachable across the pre-computed scenario grid and lookup table.</w:t>
            </w:r>
          </w:p>
        </w:tc>
      </w:tr>
      <w:tr>
        <w:tc>
          <w:tcPr/>
          <w:p>
            <w:pPr>
              <w:pStyle w:val="Compact"/>
            </w:pPr>
            <w:r>
              <w:rPr>
                <w:b/>
                <w:bCs/>
              </w:rPr>
              <w:t xml:space="preserve">Method</w:t>
            </w:r>
          </w:p>
        </w:tc>
        <w:tc>
          <w:tcPr/>
          <w:p>
            <w:pPr>
              <w:pStyle w:val="Compact"/>
            </w:pPr>
            <w:r>
              <w:rPr>
                <w:rStyle w:val="VerbatimChar"/>
              </w:rPr>
              <w:t xml:space="preserve">scipy.spatial.ConvexHull</w:t>
            </w:r>
            <w:r>
              <w:t xml:space="preserve"> </w:t>
            </w:r>
            <w:r>
              <w:t xml:space="preserve">on (flood_reduction, mean_HM) coordinates of all pre-computed scenarios.</w:t>
            </w:r>
          </w:p>
        </w:tc>
      </w:tr>
      <w:tr>
        <w:tc>
          <w:tcPr/>
          <w:p>
            <w:pPr>
              <w:pStyle w:val="Compact"/>
            </w:pPr>
            <w:r>
              <w:rPr>
                <w:b/>
                <w:bCs/>
              </w:rPr>
              <w:t xml:space="preserve">Caveats</w:t>
            </w:r>
          </w:p>
        </w:tc>
        <w:tc>
          <w:tcPr/>
          <w:p>
            <w:pPr>
              <w:pStyle w:val="Compact"/>
            </w:pPr>
            <w:r>
              <w:t xml:space="preserve">The hull is over the discrete grid, not a continuous surface — scenarios near the hull boundary are achievable but the interior is not uniformly dense.</w:t>
            </w:r>
          </w:p>
        </w:tc>
      </w:tr>
    </w:tbl>
    <w:p>
      <w:r>
        <w:pict>
          <v:rect style="width:0;height:1.5pt" o:hralign="center" o:hrstd="t" o:hr="t"/>
        </w:pict>
      </w:r>
    </w:p>
    <w:bookmarkEnd w:id="37"/>
    <w:bookmarkStart w:id="38" w:name="current-scenario-purple-star"/>
    <w:p>
      <w:pPr>
        <w:pStyle w:val="Heading3"/>
      </w:pPr>
      <w:r>
        <w:t xml:space="preserve">Current Scenario (purple star)</w:t>
      </w:r>
    </w:p>
    <w:p>
      <w:pPr>
        <w:pStyle w:val="FirstParagraph"/>
      </w:pPr>
      <w:r>
        <w:t xml:space="preserve">The outcome of the current slider settings. Crosshair lines extend from the star to both axes for easier reading.</w:t>
      </w:r>
    </w:p>
    <w:p>
      <w:r>
        <w:pict>
          <v:rect style="width:0;height:1.5pt" o:hralign="center" o:hrstd="t" o:hr="t"/>
        </w:pict>
      </w:r>
    </w:p>
    <w:bookmarkEnd w:id="38"/>
    <w:bookmarkStart w:id="39" w:name="saved-scenarios-purple-circles"/>
    <w:p>
      <w:pPr>
        <w:pStyle w:val="Heading3"/>
      </w:pPr>
      <w:r>
        <w:t xml:space="preserve">Saved Scenarios (purple circles)</w:t>
      </w:r>
    </w:p>
    <w:p>
      <w:pPr>
        <w:pStyle w:val="FirstParagraph"/>
      </w:pPr>
      <w:r>
        <w:t xml:space="preserve">Scenarios explicitly saved by clicking</w:t>
      </w:r>
      <w:r>
        <w:t xml:space="preserve"> </w:t>
      </w:r>
      <w:r>
        <w:t xml:space="preserve">“Save this scenario.”</w:t>
      </w:r>
      <w:r>
        <w:t xml:space="preserve"> </w:t>
      </w:r>
      <w:r>
        <w:t xml:space="preserve">Bubble size scales with food production (</w:t>
      </w:r>
      <w:r>
        <w:rPr>
          <w:rStyle w:val="VerbatimChar"/>
        </w:rPr>
        <w:t xml:space="preserve">base + 120 × sqrt(food / MAX_FOOD)</w:t>
      </w:r>
      <w:r>
        <w:t xml:space="preserve">). Hovering shows the scenario name and all three metric values.</w:t>
      </w:r>
    </w:p>
    <w:p>
      <w:r>
        <w:pict>
          <v:rect style="width:0;height:1.5pt" o:hralign="center" o:hrstd="t" o:hr="t"/>
        </w:pict>
      </w:r>
    </w:p>
    <w:bookmarkEnd w:id="39"/>
    <w:bookmarkStart w:id="40" w:name="pareto-frontier-gold-markers-dashed-line"/>
    <w:p>
      <w:pPr>
        <w:pStyle w:val="Heading3"/>
      </w:pPr>
      <w:r>
        <w:t xml:space="preserve">Pareto Frontier (gold markers + dashed line)</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Element</w:t>
            </w:r>
          </w:p>
        </w:tc>
        <w:tc>
          <w:tcPr/>
          <w:p>
            <w:pPr>
              <w:pStyle w:val="Compact"/>
            </w:pPr>
            <w:r>
              <w:t xml:space="preserve">Detail</w:t>
            </w:r>
          </w:p>
        </w:tc>
      </w:tr>
      <w:tr>
        <w:tc>
          <w:tcPr/>
          <w:p>
            <w:pPr>
              <w:pStyle w:val="Compact"/>
            </w:pPr>
            <w:r>
              <w:rPr>
                <w:b/>
                <w:bCs/>
              </w:rPr>
              <w:t xml:space="preserve">Represents</w:t>
            </w:r>
          </w:p>
        </w:tc>
        <w:tc>
          <w:tcPr/>
          <w:p>
            <w:pPr>
              <w:pStyle w:val="Compact"/>
            </w:pPr>
            <w:r>
              <w:t xml:space="preserve">The subset of saved scenarios that trace the outer edge of achievable performance — ones where improving one outcome would require sacrificing another. Anything far from the frontier is outperformed by at least one other saved scenario on all three metrics.</w:t>
            </w:r>
          </w:p>
        </w:tc>
      </w:tr>
      <w:tr>
        <w:tc>
          <w:tcPr/>
          <w:p>
            <w:pPr>
              <w:pStyle w:val="Compact"/>
            </w:pPr>
            <w:r>
              <w:rPr>
                <w:b/>
                <w:bCs/>
              </w:rPr>
              <w:t xml:space="preserve">Method</w:t>
            </w:r>
          </w:p>
        </w:tc>
        <w:tc>
          <w:tcPr/>
          <w:p>
            <w:pPr>
              <w:pStyle w:val="Compact"/>
            </w:pPr>
            <w:r>
              <w:t xml:space="preserve">A scenario is on the frontier if no other saved scenario is better on all three metrics at once.</w:t>
            </w:r>
          </w:p>
        </w:tc>
      </w:tr>
      <w:tr>
        <w:tc>
          <w:tcPr/>
          <w:p>
            <w:pPr>
              <w:pStyle w:val="Compact"/>
            </w:pPr>
            <w:r>
              <w:rPr>
                <w:b/>
                <w:bCs/>
              </w:rPr>
              <w:t xml:space="preserve">Caveats</w:t>
            </w:r>
          </w:p>
        </w:tc>
        <w:tc>
          <w:tcPr/>
          <w:p>
            <w:pPr>
              <w:pStyle w:val="Compact"/>
            </w:pPr>
            <w:r>
              <w:t xml:space="preserve">Computed over saved scenarios only; adding more saved scenarios can change which points are on the frontier.</w:t>
            </w:r>
          </w:p>
        </w:tc>
      </w:tr>
    </w:tbl>
    <w:p>
      <w:pPr>
        <w:pStyle w:val="BlockText"/>
      </w:pPr>
      <w:r>
        <w:rPr>
          <w:b/>
          <w:bCs/>
        </w:rPr>
        <w:t xml:space="preserve">💡 How to use the Pareto Frontier:</w:t>
      </w:r>
      <w:r>
        <w:t xml:space="preserve"> </w:t>
      </w:r>
      <w:r>
        <w:t xml:space="preserve">The gold markers represent the most efficient saved scenarios — ones where you cannot improve one outcome (e.g. cooling) without sacrificing another (e.g. flood reduction or food production). Any scenario near that line represents a</w:t>
      </w:r>
      <w:r>
        <w:t xml:space="preserve"> </w:t>
      </w:r>
      <w:r>
        <w:rPr>
          <w:b/>
          <w:bCs/>
        </w:rPr>
        <w:t xml:space="preserve">high-performance design</w:t>
      </w:r>
      <w:r>
        <w:t xml:space="preserve"> </w:t>
      </w:r>
      <w:r>
        <w:t xml:space="preserve">worth exploring further. Scenarios far from the frontier are outperformed by at least one other saved scenario on all three metrics simultaneously.</w:t>
      </w:r>
    </w:p>
    <w:p>
      <w:r>
        <w:pict>
          <v:rect style="width:0;height:1.5pt" o:hralign="center" o:hrstd="t" o:hr="t"/>
        </w:pict>
      </w:r>
    </w:p>
    <w:bookmarkEnd w:id="40"/>
    <w:bookmarkStart w:id="41" w:name="optimized-suggestions-orange-diamonds"/>
    <w:p>
      <w:pPr>
        <w:pStyle w:val="Heading3"/>
      </w:pPr>
      <w:r>
        <w:t xml:space="preserve">Optimized Suggestions (orange diamonds)</w:t>
      </w:r>
    </w:p>
    <w:p>
      <w:pPr>
        <w:pStyle w:val="FirstParagraph"/>
      </w:pPr>
      <w:r>
        <w:t xml:space="preserve">Returned by the surrogate optimizer after clicking</w:t>
      </w:r>
      <w:r>
        <w:t xml:space="preserve"> </w:t>
      </w:r>
      <w:r>
        <w:t xml:space="preserve">“Optimize.”</w:t>
      </w:r>
      <w:r>
        <w:t xml:space="preserve"> </w:t>
      </w:r>
      <w:r>
        <w:t xml:space="preserve">Error bars show the 10th–90th percentile range across Random Forest trees for flood (horizontal) and HM (vertical).</w:t>
      </w:r>
    </w:p>
    <w:p>
      <w:r>
        <w:pict>
          <v:rect style="width:0;height:1.5pt" o:hralign="center" o:hrstd="t" o:hr="t"/>
        </w:pict>
      </w:r>
    </w:p>
    <w:bookmarkEnd w:id="41"/>
    <w:bookmarkStart w:id="42" w:name="X08b0971ca8da753d502424aa77bd8b10039c9f8"/>
    <w:p>
      <w:pPr>
        <w:pStyle w:val="Heading3"/>
      </w:pPr>
      <w:r>
        <w:t xml:space="preserve">Influence Map (feature importance bar chart)</w:t>
      </w:r>
    </w:p>
    <w:p>
      <w:pPr>
        <w:pStyle w:val="FirstParagraph"/>
      </w:pPr>
      <w:r>
        <w:t xml:space="preserve">Shown below the optimized suggestions table when optimizer results are present.</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Represents</w:t>
            </w:r>
          </w:p>
        </w:tc>
        <w:tc>
          <w:tcPr/>
          <w:p>
            <w:pPr>
              <w:pStyle w:val="Compact"/>
            </w:pPr>
            <w:r>
              <w:t xml:space="preserve">Which of the three input sliders (% Converted, Green Infra %, Food Forest %) most strongly drives the surrogate model’s predictions across all three output metrics.</w:t>
            </w:r>
          </w:p>
        </w:tc>
      </w:tr>
      <w:tr>
        <w:tc>
          <w:tcPr/>
          <w:p>
            <w:pPr>
              <w:pStyle w:val="Compact"/>
            </w:pPr>
            <w:r>
              <w:rPr>
                <w:b/>
                <w:bCs/>
              </w:rPr>
              <w:t xml:space="preserve">Method</w:t>
            </w:r>
          </w:p>
        </w:tc>
        <w:tc>
          <w:tcPr/>
          <w:p>
            <w:pPr>
              <w:pStyle w:val="Compact"/>
            </w:pPr>
            <w:r>
              <w:rPr>
                <w:rStyle w:val="VerbatimChar"/>
              </w:rPr>
              <w:t xml:space="preserve">model.feature_importances_</w:t>
            </w:r>
            <w:r>
              <w:t xml:space="preserve"> </w:t>
            </w:r>
            <w:r>
              <w:t xml:space="preserve">from the Random Forest — the mean decrease in impurity averaged across all trees and all output dimensions.</w:t>
            </w:r>
          </w:p>
        </w:tc>
      </w:tr>
      <w:tr>
        <w:tc>
          <w:tcPr/>
          <w:p>
            <w:pPr>
              <w:pStyle w:val="Compact"/>
            </w:pPr>
            <w:r>
              <w:rPr>
                <w:b/>
                <w:bCs/>
              </w:rPr>
              <w:t xml:space="preserve">Caveats</w:t>
            </w:r>
          </w:p>
        </w:tc>
        <w:tc>
          <w:tcPr/>
          <w:p>
            <w:pPr>
              <w:pStyle w:val="Compact"/>
            </w:pPr>
            <w:r>
              <w:t xml:space="preserve">Importances reflect the surrogate’s learned relationships, not physical causation. Because the three inputs are constrained (GI% + FF% ≤ 100%), their importances are not fully independent. Feature importance reflects how strongly variables influence the surrogate predictions within the sampled training space; it does not imply causal importance outside that range.</w:t>
            </w:r>
          </w:p>
        </w:tc>
      </w:tr>
    </w:tbl>
    <w:p>
      <w:r>
        <w:pict>
          <v:rect style="width:0;height:1.5pt" o:hralign="center" o:hrstd="t" o:hr="t"/>
        </w:pict>
      </w:r>
    </w:p>
    <w:bookmarkEnd w:id="42"/>
    <w:bookmarkEnd w:id="43"/>
    <w:bookmarkStart w:id="44" w:name="bar-charts-scenario-tab"/>
    <w:p>
      <w:pPr>
        <w:pStyle w:val="Heading2"/>
      </w:pPr>
      <w:r>
        <w:t xml:space="preserve">Bar Charts (Scenario tab)</w:t>
      </w:r>
    </w:p>
    <w:p>
      <w:pPr>
        <w:pStyle w:val="FirstParagraph"/>
      </w:pPr>
      <w:r>
        <w:t xml:space="preserve">Three side-by-side bars comparing the current scenario to the unmodified baseline on the three primary metrics.</w:t>
      </w:r>
    </w:p>
    <w:tbl>
      <w:tblPr>
        <w:tblStyle w:val="Table"/>
        <w:tblW w:type="pct" w:w="5000"/>
        <w:tblLayout w:type="fixed"/>
        <w:tblLook w:firstRow="1" w:lastRow="0" w:firstColumn="0" w:lastColumn="0" w:noHBand="0" w:noVBand="0" w:val="0020"/>
      </w:tblPr>
      <w:tblGrid>
        <w:gridCol w:w="1205"/>
        <w:gridCol w:w="1377"/>
        <w:gridCol w:w="2582"/>
        <w:gridCol w:w="2754"/>
      </w:tblGrid>
      <w:tr>
        <w:trPr>
          <w:tblHeader w:val="on"/>
        </w:trPr>
        <w:tc>
          <w:tcPr/>
          <w:p>
            <w:pPr>
              <w:pStyle w:val="Compact"/>
            </w:pPr>
            <w:r>
              <w:t xml:space="preserve">Chart</w:t>
            </w:r>
          </w:p>
        </w:tc>
        <w:tc>
          <w:tcPr/>
          <w:p>
            <w:pPr>
              <w:pStyle w:val="Compact"/>
            </w:pPr>
            <w:r>
              <w:t xml:space="preserve">Y-axis</w:t>
            </w:r>
          </w:p>
        </w:tc>
        <w:tc>
          <w:tcPr/>
          <w:p>
            <w:pPr>
              <w:pStyle w:val="Compact"/>
            </w:pPr>
            <w:r>
              <w:t xml:space="preserve">Baseline value</w:t>
            </w:r>
          </w:p>
        </w:tc>
        <w:tc>
          <w:tcPr/>
          <w:p>
            <w:pPr>
              <w:pStyle w:val="Compact"/>
            </w:pPr>
            <w:r>
              <w:t xml:space="preserve">Scenario value</w:t>
            </w:r>
          </w:p>
        </w:tc>
      </w:tr>
      <w:tr>
        <w:tc>
          <w:tcPr/>
          <w:p>
            <w:pPr>
              <w:pStyle w:val="Compact"/>
            </w:pPr>
            <w:r>
              <w:t xml:space="preserve">Flood Risk</w:t>
            </w:r>
          </w:p>
        </w:tc>
        <w:tc>
          <w:tcPr/>
          <w:p>
            <w:pPr>
              <w:pStyle w:val="Compact"/>
            </w:pPr>
            <w:r>
              <w:t xml:space="preserve">Mean Curve Number (lower = less runoff)</w:t>
            </w:r>
          </w:p>
        </w:tc>
        <w:tc>
          <w:tcPr/>
          <w:p>
            <w:pPr>
              <w:pStyle w:val="Compact"/>
            </w:pPr>
            <w:r>
              <w:rPr>
                <w:rStyle w:val="VerbatimChar"/>
              </w:rPr>
              <w:t xml:space="preserve">BASELINE_CN</w:t>
            </w:r>
            <w:r>
              <w:t xml:space="preserve"> </w:t>
            </w:r>
            <w:r>
              <w:t xml:space="preserve">(75.7)</w:t>
            </w:r>
          </w:p>
        </w:tc>
        <w:tc>
          <w:tcPr/>
          <w:p>
            <w:pPr>
              <w:pStyle w:val="Compact"/>
            </w:pPr>
            <w:r>
              <w:rPr>
                <w:rStyle w:val="VerbatimChar"/>
              </w:rPr>
              <w:t xml:space="preserve">mean_CN</w:t>
            </w:r>
            <w:r>
              <w:t xml:space="preserve"> </w:t>
            </w:r>
            <w:r>
              <w:t xml:space="preserve">from scenario</w:t>
            </w:r>
          </w:p>
        </w:tc>
      </w:tr>
      <w:tr>
        <w:tc>
          <w:tcPr/>
          <w:p>
            <w:pPr>
              <w:pStyle w:val="Compact"/>
            </w:pPr>
            <w:r>
              <w:t xml:space="preserve">Urban Cooling</w:t>
            </w:r>
          </w:p>
        </w:tc>
        <w:tc>
          <w:tcPr/>
          <w:p>
            <w:pPr>
              <w:pStyle w:val="Compact"/>
            </w:pPr>
            <w:r>
              <w:t xml:space="preserve">Heat Mitigation Index (higher = more cooling)</w:t>
            </w:r>
          </w:p>
        </w:tc>
        <w:tc>
          <w:tcPr/>
          <w:p>
            <w:pPr>
              <w:pStyle w:val="Compact"/>
            </w:pPr>
            <w:r>
              <w:rPr>
                <w:rStyle w:val="VerbatimChar"/>
              </w:rPr>
              <w:t xml:space="preserve">BASELINE_HM</w:t>
            </w:r>
            <w:r>
              <w:t xml:space="preserve"> </w:t>
            </w:r>
            <w:r>
              <w:t xml:space="preserve">(0.2719)</w:t>
            </w:r>
          </w:p>
        </w:tc>
        <w:tc>
          <w:tcPr/>
          <w:p>
            <w:pPr>
              <w:pStyle w:val="Compact"/>
            </w:pPr>
            <w:r>
              <w:rPr>
                <w:rStyle w:val="VerbatimChar"/>
              </w:rPr>
              <w:t xml:space="preserve">mean_HM</w:t>
            </w:r>
            <w:r>
              <w:t xml:space="preserve"> </w:t>
            </w:r>
            <w:r>
              <w:t xml:space="preserve">from scenario</w:t>
            </w:r>
          </w:p>
        </w:tc>
      </w:tr>
      <w:tr>
        <w:tc>
          <w:tcPr/>
          <w:p>
            <w:pPr>
              <w:pStyle w:val="Compact"/>
            </w:pPr>
            <w:r>
              <w:t xml:space="preserve">Food Production</w:t>
            </w:r>
          </w:p>
        </w:tc>
        <w:tc>
          <w:tcPr/>
          <w:p>
            <w:pPr>
              <w:pStyle w:val="Compact"/>
            </w:pPr>
            <w:r>
              <w:t xml:space="preserve">Million lbs/year</w:t>
            </w:r>
          </w:p>
        </w:tc>
        <w:tc>
          <w:tcPr/>
          <w:p>
            <w:pPr>
              <w:pStyle w:val="Compact"/>
            </w:pPr>
            <w:r>
              <w:t xml:space="preserve">0.0 (no food forest in baseline)</w:t>
            </w:r>
          </w:p>
        </w:tc>
        <w:tc>
          <w:tcPr/>
          <w:p>
            <w:pPr>
              <w:pStyle w:val="Compact"/>
            </w:pPr>
            <w:r>
              <w:rPr>
                <w:rStyle w:val="VerbatimChar"/>
              </w:rPr>
              <w:t xml:space="preserve">food_mln_lbs</w:t>
            </w:r>
            <w:r>
              <w:t xml:space="preserve"> </w:t>
            </w:r>
            <w:r>
              <w:t xml:space="preserve">from scenario</w:t>
            </w:r>
          </w:p>
        </w:tc>
      </w:tr>
    </w:tbl>
    <w:p>
      <w:pPr>
        <w:pStyle w:val="BodyText"/>
      </w:pPr>
      <w:r>
        <w:t xml:space="preserve">A horizontal dashed line at the baseline value is drawn on the Flood Risk and Cooling charts for visual reference. The Food Production y-axis is scaled to</w:t>
      </w:r>
      <w:r>
        <w:t xml:space="preserve"> </w:t>
      </w:r>
      <w:r>
        <w:rPr>
          <w:rStyle w:val="VerbatimChar"/>
        </w:rPr>
        <w:t xml:space="preserve">MAX_FOOD × 1.1</w:t>
      </w:r>
      <w:r>
        <w:t xml:space="preserve"> </w:t>
      </w:r>
      <w:r>
        <w:t xml:space="preserve">across all pre-computed scenarios.</w:t>
      </w:r>
    </w:p>
    <w:p>
      <w:r>
        <w:pict>
          <v:rect style="width:0;height:1.5pt" o:hralign="center" o:hrstd="t" o:hr="t"/>
        </w:pict>
      </w:r>
    </w:p>
    <w:bookmarkEnd w:id="44"/>
    <w:bookmarkStart w:id="45" w:name="map-view-map-view-tab"/>
    <w:p>
      <w:pPr>
        <w:pStyle w:val="Heading2"/>
      </w:pPr>
      <w:r>
        <w:t xml:space="preserve">Map View (Map View tab)</w:t>
      </w:r>
    </w:p>
    <w:p>
      <w:pPr>
        <w:pStyle w:val="FirstParagraph"/>
      </w:pPr>
      <w:r>
        <w:t xml:space="preserve">Pixel-level raster showing which developed pixels changed and to what land cover.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Color</w:t>
            </w:r>
          </w:p>
        </w:tc>
        <w:tc>
          <w:tcPr/>
          <w:p>
            <w:pPr>
              <w:pStyle w:val="Compact"/>
            </w:pPr>
            <w:r>
              <w:t xml:space="preserve">Meaning</w:t>
            </w:r>
          </w:p>
        </w:tc>
      </w:tr>
      <w:tr>
        <w:tc>
          <w:tcPr/>
          <w:p>
            <w:pPr>
              <w:pStyle w:val="Compact"/>
            </w:pPr>
            <w:r>
              <w:t xml:space="preserve">Gray (</w:t>
            </w:r>
            <w:r>
              <w:rPr>
                <w:rStyle w:val="VerbatimChar"/>
              </w:rPr>
              <w:t xml:space="preserve">#d3d3d3</w:t>
            </w:r>
            <w:r>
              <w:t xml:space="preserve">)</w:t>
            </w:r>
          </w:p>
        </w:tc>
        <w:tc>
          <w:tcPr/>
          <w:p>
            <w:pPr>
              <w:pStyle w:val="Compact"/>
            </w:pPr>
            <w:r>
              <w:t xml:space="preserve">Developed pixel, unchanged</w:t>
            </w:r>
          </w:p>
        </w:tc>
      </w:tr>
      <w:tr>
        <w:tc>
          <w:tcPr/>
          <w:p>
            <w:pPr>
              <w:pStyle w:val="Compact"/>
            </w:pPr>
            <w:r>
              <w:t xml:space="preserve">Teal (</w:t>
            </w:r>
            <w:r>
              <w:rPr>
                <w:rStyle w:val="VerbatimChar"/>
              </w:rPr>
              <w:t xml:space="preserve">#2196a0</w:t>
            </w:r>
            <w:r>
              <w:t xml:space="preserve">)</w:t>
            </w:r>
          </w:p>
        </w:tc>
        <w:tc>
          <w:tcPr/>
          <w:p>
            <w:pPr>
              <w:pStyle w:val="Compact"/>
            </w:pPr>
            <w:r>
              <w:t xml:space="preserve">Converted to Green Infrastructure (NLCD 90)</w:t>
            </w:r>
          </w:p>
        </w:tc>
      </w:tr>
      <w:tr>
        <w:tc>
          <w:tcPr/>
          <w:p>
            <w:pPr>
              <w:pStyle w:val="Compact"/>
            </w:pPr>
            <w:r>
              <w:t xml:space="preserve">Green (</w:t>
            </w:r>
            <w:r>
              <w:rPr>
                <w:rStyle w:val="VerbatimChar"/>
              </w:rPr>
              <w:t xml:space="preserve">#4caf50</w:t>
            </w:r>
            <w:r>
              <w:t xml:space="preserve">)</w:t>
            </w:r>
          </w:p>
        </w:tc>
        <w:tc>
          <w:tcPr/>
          <w:p>
            <w:pPr>
              <w:pStyle w:val="Compact"/>
            </w:pPr>
            <w:r>
              <w:t xml:space="preserve">Converted to Food Forest (NLCD 41)</w:t>
            </w:r>
          </w:p>
        </w:tc>
      </w:tr>
      <w:tr>
        <w:tc>
          <w:tcPr/>
          <w:p>
            <w:pPr>
              <w:pStyle w:val="Compact"/>
            </w:pPr>
            <w:r>
              <w:t xml:space="preserve">Red (</w:t>
            </w:r>
            <w:r>
              <w:rPr>
                <w:rStyle w:val="VerbatimChar"/>
              </w:rPr>
              <w:t xml:space="preserve">#e53935</w:t>
            </w:r>
            <w:r>
              <w:t xml:space="preserve">)</w:t>
            </w:r>
          </w:p>
        </w:tc>
        <w:tc>
          <w:tcPr/>
          <w:p>
            <w:pPr>
              <w:pStyle w:val="Compact"/>
            </w:pPr>
            <w:r>
              <w:t xml:space="preserve">Converted to High Density (NLCD 24)</w:t>
            </w:r>
          </w:p>
        </w:tc>
      </w:tr>
      <w:tr>
        <w:tc>
          <w:tcPr/>
          <w:p>
            <w:pPr>
              <w:pStyle w:val="Compact"/>
            </w:pPr>
            <w:r>
              <w:t xml:space="preserve">White</w:t>
            </w:r>
          </w:p>
        </w:tc>
        <w:tc>
          <w:tcPr/>
          <w:p>
            <w:pPr>
              <w:pStyle w:val="Compact"/>
            </w:pPr>
            <w:r>
              <w:t xml:space="preserve">Outside city boundary (</w:t>
            </w:r>
            <w:r>
              <w:rPr>
                <w:rStyle w:val="VerbatimChar"/>
              </w:rPr>
              <w:t xml:space="preserve">NODATA = -128</w:t>
            </w:r>
            <w:r>
              <w:t xml:space="preserve">)</w:t>
            </w:r>
          </w:p>
        </w:tc>
      </w:tr>
    </w:tbl>
    <w:p>
      <w:pPr>
        <w:pStyle w:val="BodyText"/>
      </w:pPr>
      <w:r>
        <w:t xml:space="preserve">When heat-priority mode is on, teal/green/red pixels are concentrated in higher-intensity developed areas rather than uniformly distributed.</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2026-05-06T19:08:28Z</dcterms:created>
  <dcterms:modified xsi:type="dcterms:W3CDTF">2026-05-06T19:08:28Z</dcterms:modified>
</cp:coreProperties>
</file>

<file path=docProps/custom.xml><?xml version="1.0" encoding="utf-8"?>
<Properties xmlns="http://schemas.openxmlformats.org/officeDocument/2006/custom-properties" xmlns:vt="http://schemas.openxmlformats.org/officeDocument/2006/docPropsVTypes"/>
</file>