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ecosystem-explorer-one-page-summary"/>
    <w:p>
      <w:pPr>
        <w:pStyle w:val="Heading1"/>
      </w:pPr>
      <w:r>
        <w:t xml:space="preserve">Ecosystem Explorer — One-Page Summary</w:t>
      </w:r>
    </w:p>
    <w:bookmarkStart w:id="9" w:name="what-it-does"/>
    <w:p>
      <w:pPr>
        <w:pStyle w:val="Heading2"/>
      </w:pPr>
      <w:r>
        <w:t xml:space="preserve">What it does</w:t>
      </w:r>
    </w:p>
    <w:p>
      <w:pPr>
        <w:pStyle w:val="FirstParagraph"/>
      </w:pPr>
      <w:r>
        <w:t xml:space="preserve">The Ecosystem Explorer simulates how reallocating developed urban land across three land use types affects flood runoff, urban cooling, and food production simultaneously. It is designed for comparative exploration of tradeoffs in early-stage planning conversations — not for precise prediction or final investment decisions.</w:t>
      </w:r>
    </w:p>
    <w:p>
      <w:r>
        <w:pict>
          <v:rect style="width:0;height:1.5pt" o:hralign="center" o:hrstd="t" o:hr="t"/>
        </w:pict>
      </w:r>
    </w:p>
    <w:bookmarkEnd w:id="9"/>
    <w:bookmarkStart w:id="10" w:name="three-land-use-types"/>
    <w:p>
      <w:pPr>
        <w:pStyle w:val="Heading2"/>
      </w:pPr>
      <w:r>
        <w:t xml:space="preserve">Three land use types</w:t>
      </w:r>
    </w:p>
    <w:tbl>
      <w:tblPr>
        <w:tblStyle w:val="Table"/>
        <w:tblW w:type="pct" w:w="5000"/>
        <w:tblLayout w:type="fixed"/>
        <w:tblLook w:firstRow="1" w:lastRow="0" w:firstColumn="0" w:lastColumn="0" w:noHBand="0" w:noVBand="0" w:val="0020"/>
      </w:tblPr>
      <w:tblGrid>
        <w:gridCol w:w="2640"/>
        <w:gridCol w:w="2904"/>
        <w:gridCol w:w="2376"/>
      </w:tblGrid>
      <w:tr>
        <w:trPr>
          <w:tblHeader w:val="on"/>
        </w:trPr>
        <w:tc>
          <w:tcPr/>
          <w:p>
            <w:pPr>
              <w:pStyle w:val="Compact"/>
            </w:pPr>
            <w:r>
              <w:t xml:space="preserve">Land Use</w:t>
            </w:r>
          </w:p>
        </w:tc>
        <w:tc>
          <w:tcPr/>
          <w:p>
            <w:pPr>
              <w:pStyle w:val="Compact"/>
            </w:pPr>
            <w:r>
              <w:t xml:space="preserve">NLCD Code</w:t>
            </w:r>
          </w:p>
        </w:tc>
        <w:tc>
          <w:tcPr/>
          <w:p>
            <w:pPr>
              <w:pStyle w:val="Compact"/>
            </w:pPr>
            <w:r>
              <w:t xml:space="preserve">Best for</w:t>
            </w:r>
          </w:p>
        </w:tc>
      </w:tr>
      <w:tr>
        <w:tc>
          <w:tcPr/>
          <w:p>
            <w:pPr>
              <w:pStyle w:val="Compact"/>
            </w:pPr>
            <w:r>
              <w:t xml:space="preserve">Green Infrastructure</w:t>
            </w:r>
          </w:p>
        </w:tc>
        <w:tc>
          <w:tcPr/>
          <w:p>
            <w:pPr>
              <w:pStyle w:val="Compact"/>
            </w:pPr>
            <w:r>
              <w:t xml:space="preserve">90 (woody wetlands)</w:t>
            </w:r>
          </w:p>
        </w:tc>
        <w:tc>
          <w:tcPr/>
          <w:p>
            <w:pPr>
              <w:pStyle w:val="Compact"/>
            </w:pPr>
            <w:r>
              <w:t xml:space="preserve">Flood reduction</w:t>
            </w:r>
          </w:p>
        </w:tc>
      </w:tr>
      <w:tr>
        <w:tc>
          <w:tcPr/>
          <w:p>
            <w:pPr>
              <w:pStyle w:val="Compact"/>
            </w:pPr>
            <w:r>
              <w:t xml:space="preserve">Food Forest</w:t>
            </w:r>
          </w:p>
        </w:tc>
        <w:tc>
          <w:tcPr/>
          <w:p>
            <w:pPr>
              <w:pStyle w:val="Compact"/>
            </w:pPr>
            <w:r>
              <w:t xml:space="preserve">41 (deciduous forest proxy)</w:t>
            </w:r>
          </w:p>
        </w:tc>
        <w:tc>
          <w:tcPr/>
          <w:p>
            <w:pPr>
              <w:pStyle w:val="Compact"/>
            </w:pPr>
            <w:r>
              <w:t xml:space="preserve">Cooling + food production</w:t>
            </w:r>
          </w:p>
        </w:tc>
      </w:tr>
      <w:tr>
        <w:tc>
          <w:tcPr/>
          <w:p>
            <w:pPr>
              <w:pStyle w:val="Compact"/>
            </w:pPr>
            <w:r>
              <w:t xml:space="preserve">High Density</w:t>
            </w:r>
          </w:p>
        </w:tc>
        <w:tc>
          <w:tcPr/>
          <w:p>
            <w:pPr>
              <w:pStyle w:val="Compact"/>
            </w:pPr>
            <w:r>
              <w:t xml:space="preserve">24 (developed high intensity)</w:t>
            </w:r>
          </w:p>
        </w:tc>
        <w:tc>
          <w:tcPr/>
          <w:p>
            <w:pPr>
              <w:pStyle w:val="Compact"/>
            </w:pPr>
            <w:r>
              <w:t xml:space="preserve">— (worst for all three)</w:t>
            </w:r>
          </w:p>
        </w:tc>
      </w:tr>
    </w:tbl>
    <w:p>
      <w:r>
        <w:pict>
          <v:rect style="width:0;height:1.5pt" o:hralign="center" o:hrstd="t" o:hr="t"/>
        </w:pict>
      </w:r>
    </w:p>
    <w:bookmarkEnd w:id="10"/>
    <w:bookmarkStart w:id="11" w:name="five-outcome-metrics"/>
    <w:p>
      <w:pPr>
        <w:pStyle w:val="Heading2"/>
      </w:pPr>
      <w:r>
        <w:t xml:space="preserve">Five outcome metrics</w:t>
      </w:r>
    </w:p>
    <w:tbl>
      <w:tblPr>
        <w:tblStyle w:val="Table"/>
        <w:tblW w:type="pct" w:w="5000"/>
        <w:tblLayout w:type="fixed"/>
        <w:tblLook w:firstRow="1" w:lastRow="0" w:firstColumn="0" w:lastColumn="0" w:noHBand="0" w:noVBand="0" w:val="0020"/>
      </w:tblPr>
      <w:tblGrid>
        <w:gridCol w:w="2043"/>
        <w:gridCol w:w="4343"/>
        <w:gridCol w:w="1532"/>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Unit</w:t>
            </w:r>
          </w:p>
        </w:tc>
      </w:tr>
      <w:tr>
        <w:tc>
          <w:tcPr/>
          <w:p>
            <w:pPr>
              <w:pStyle w:val="Compact"/>
            </w:pPr>
            <w:r>
              <w:t xml:space="preserve">Flood Risk Reduction</w:t>
            </w:r>
          </w:p>
        </w:tc>
        <w:tc>
          <w:tcPr/>
          <w:p>
            <w:pPr>
              <w:pStyle w:val="Compact"/>
            </w:pPr>
            <w:r>
              <w:t xml:space="preserve">Runoff potential derived from average Curve Number; higher = less runoff</w:t>
            </w:r>
          </w:p>
        </w:tc>
        <w:tc>
          <w:tcPr/>
          <w:p>
            <w:pPr>
              <w:pStyle w:val="Compact"/>
            </w:pPr>
            <w:r>
              <w:t xml:space="preserve">index 0–100</w:t>
            </w:r>
          </w:p>
        </w:tc>
      </w:tr>
      <w:tr>
        <w:tc>
          <w:tcPr/>
          <w:p>
            <w:pPr>
              <w:pStyle w:val="Compact"/>
            </w:pPr>
            <w:r>
              <w:t xml:space="preserve">Temperature Change</w:t>
            </w:r>
          </w:p>
        </w:tc>
        <w:tc>
          <w:tcPr/>
          <w:p>
            <w:pPr>
              <w:pStyle w:val="Compact"/>
            </w:pPr>
            <w:r>
              <w:t xml:space="preserve">Approximate air-temperature difference vs unmodified baseline</w:t>
            </w:r>
          </w:p>
        </w:tc>
        <w:tc>
          <w:tcPr/>
          <w:p>
            <w:pPr>
              <w:pStyle w:val="Compact"/>
            </w:pPr>
            <w:r>
              <w:t xml:space="preserve">°F vs baseline</w:t>
            </w:r>
          </w:p>
        </w:tc>
      </w:tr>
      <w:tr>
        <w:tc>
          <w:tcPr/>
          <w:p>
            <w:pPr>
              <w:pStyle w:val="Compact"/>
            </w:pPr>
            <w:r>
              <w:t xml:space="preserve">Runoff Volume</w:t>
            </w:r>
          </w:p>
        </w:tc>
        <w:tc>
          <w:tcPr/>
          <w:p>
            <w:pPr>
              <w:pStyle w:val="Compact"/>
            </w:pPr>
            <w:r>
              <w:t xml:space="preserve">Total stormwater volume for a 2-inch design storm across all developed land</w:t>
            </w:r>
          </w:p>
        </w:tc>
        <w:tc>
          <w:tcPr/>
          <w:p>
            <w:pPr>
              <w:pStyle w:val="Compact"/>
            </w:pPr>
            <w:r>
              <w:t xml:space="preserve">acre-feet</w:t>
            </w:r>
          </w:p>
        </w:tc>
      </w:tr>
      <w:tr>
        <w:tc>
          <w:tcPr/>
          <w:p>
            <w:pPr>
              <w:pStyle w:val="Compact"/>
            </w:pPr>
            <w:r>
              <w:t xml:space="preserve">Food Production</w:t>
            </w:r>
          </w:p>
        </w:tc>
        <w:tc>
          <w:tcPr/>
          <w:p>
            <w:pPr>
              <w:pStyle w:val="Compact"/>
            </w:pPr>
            <w:r>
              <w:t xml:space="preserve">Annual yield from food forest pixels, assuming mature managed systems</w:t>
            </w:r>
          </w:p>
        </w:tc>
        <w:tc>
          <w:tcPr/>
          <w:p>
            <w:pPr>
              <w:pStyle w:val="Compact"/>
            </w:pPr>
            <w:r>
              <w:t xml:space="preserve">M lbs/yr</w:t>
            </w:r>
          </w:p>
        </w:tc>
      </w:tr>
      <w:tr>
        <w:tc>
          <w:tcPr/>
          <w:p>
            <w:pPr>
              <w:pStyle w:val="Compact"/>
            </w:pPr>
            <w:r>
              <w:t xml:space="preserve">Est. Implementation Cost</w:t>
            </w:r>
          </w:p>
        </w:tc>
        <w:tc>
          <w:tcPr/>
          <w:p>
            <w:pPr>
              <w:pStyle w:val="Compact"/>
            </w:pPr>
            <w:r>
              <w:t xml:space="preserve">Order-of-magnitude capital cost based on per-acre cost sliders</w:t>
            </w:r>
          </w:p>
        </w:tc>
        <w:tc>
          <w:tcPr/>
          <w:p>
            <w:pPr>
              <w:pStyle w:val="Compact"/>
            </w:pPr>
            <w:r>
              <w:t xml:space="preserve">$M</w:t>
            </w:r>
          </w:p>
        </w:tc>
      </w:tr>
    </w:tbl>
    <w:p>
      <w:r>
        <w:pict>
          <v:rect style="width:0;height:1.5pt" o:hralign="center" o:hrstd="t" o:hr="t"/>
        </w:pict>
      </w:r>
    </w:p>
    <w:bookmarkEnd w:id="11"/>
    <w:bookmarkStart w:id="12" w:name="how-its-computed"/>
    <w:p>
      <w:pPr>
        <w:pStyle w:val="Heading2"/>
      </w:pPr>
      <w:r>
        <w:t xml:space="preserve">How it’s computed</w:t>
      </w:r>
    </w:p>
    <w:p>
      <w:pPr>
        <w:pStyle w:val="Compact"/>
        <w:numPr>
          <w:ilvl w:val="0"/>
          <w:numId w:val="1001"/>
        </w:numPr>
      </w:pPr>
      <w:r>
        <w:rPr>
          <w:b/>
          <w:bCs/>
        </w:rPr>
        <w:t xml:space="preserve">Flood and runoff</w:t>
      </w:r>
      <w:r>
        <w:t xml:space="preserve"> </w:t>
      </w:r>
      <w:r>
        <w:t xml:space="preserve">— USDA SCS Curve Number method applied per pixel using NLCD land cover and SSURGO soil hydrologic group; aggregated to city-wide mean CN and total runoff volume for a 2-inch design storm.</w:t>
      </w:r>
    </w:p>
    <w:p>
      <w:pPr>
        <w:pStyle w:val="Compact"/>
        <w:numPr>
          <w:ilvl w:val="0"/>
          <w:numId w:val="1001"/>
        </w:numPr>
      </w:pPr>
      <w:r>
        <w:rPr>
          <w:b/>
          <w:bCs/>
        </w:rPr>
        <w:t xml:space="preserve">Cooling</w:t>
      </w:r>
      <w:r>
        <w:t xml:space="preserve"> </w:t>
      </w:r>
      <w:r>
        <w:t xml:space="preserve">— InVEST Urban Cooling Model HM index (</w:t>
      </w:r>
      <w:r>
        <w:rPr>
          <w:rStyle w:val="VerbatimChar"/>
        </w:rPr>
        <w:t xml:space="preserve">HM = (shade + kc) / 2</w:t>
      </w:r>
      <w:r>
        <w:t xml:space="preserve"> </w:t>
      </w:r>
      <w:r>
        <w:t xml:space="preserve">per pixel), converted to °F using a 4°F/HM unit factor (approximate midpoint from InVEST literature; ±2°F uncertainty).</w:t>
      </w:r>
    </w:p>
    <w:p>
      <w:pPr>
        <w:pStyle w:val="Compact"/>
        <w:numPr>
          <w:ilvl w:val="0"/>
          <w:numId w:val="1001"/>
        </w:numPr>
      </w:pPr>
      <w:r>
        <w:rPr>
          <w:b/>
          <w:bCs/>
        </w:rPr>
        <w:t xml:space="preserve">Food production</w:t>
      </w:r>
      <w:r>
        <w:t xml:space="preserve"> </w:t>
      </w:r>
      <w:r>
        <w:t xml:space="preserve">— Pixel count of food forest conversions × 0.222 acres/pixel × 11,500 lbs/acre/year benchmark from NatCap food forest studies.</w:t>
      </w:r>
    </w:p>
    <w:p>
      <w:r>
        <w:pict>
          <v:rect style="width:0;height:1.5pt" o:hralign="center" o:hrstd="t" o:hr="t"/>
        </w:pict>
      </w:r>
    </w:p>
    <w:bookmarkEnd w:id="12"/>
    <w:bookmarkStart w:id="13" w:name="key-assumptions-and-limitations"/>
    <w:p>
      <w:pPr>
        <w:pStyle w:val="Heading2"/>
      </w:pPr>
      <w:r>
        <w:t xml:space="preserve">Key assumptions and limitations</w:t>
      </w:r>
    </w:p>
    <w:p>
      <w:pPr>
        <w:pStyle w:val="Compact"/>
        <w:numPr>
          <w:ilvl w:val="0"/>
          <w:numId w:val="1002"/>
        </w:numPr>
      </w:pPr>
      <w:r>
        <w:rPr>
          <w:b/>
          <w:bCs/>
        </w:rPr>
        <w:t xml:space="preserve">City-scale aggregates only</w:t>
      </w:r>
      <w:r>
        <w:t xml:space="preserve"> </w:t>
      </w:r>
      <w:r>
        <w:t xml:space="preserve">— results are city-wide means; spatial placement of conversions is random (or intensity-weighted in heat-priority mode), not parcel-aware.</w:t>
      </w:r>
    </w:p>
    <w:p>
      <w:pPr>
        <w:pStyle w:val="Compact"/>
        <w:numPr>
          <w:ilvl w:val="0"/>
          <w:numId w:val="1002"/>
        </w:numPr>
      </w:pPr>
      <w:r>
        <w:rPr>
          <w:b/>
          <w:bCs/>
        </w:rPr>
        <w:t xml:space="preserve">Temperature calibration not locally validated</w:t>
      </w:r>
      <w:r>
        <w:t xml:space="preserve"> </w:t>
      </w:r>
      <w:r>
        <w:t xml:space="preserve">— the 4°F/HM unit factor is a literature midpoint for Minneapolis; outputs carry roughly ±2°F uncertainty.</w:t>
      </w:r>
    </w:p>
    <w:p>
      <w:pPr>
        <w:pStyle w:val="Compact"/>
        <w:numPr>
          <w:ilvl w:val="0"/>
          <w:numId w:val="1002"/>
        </w:numPr>
      </w:pPr>
      <w:r>
        <w:rPr>
          <w:b/>
          <w:bCs/>
        </w:rPr>
        <w:t xml:space="preserve">Food yield is a flat benchmark</w:t>
      </w:r>
      <w:r>
        <w:t xml:space="preserve"> </w:t>
      </w:r>
      <w:r>
        <w:t xml:space="preserve">— 11,500 lbs/acre/year assumes a mature, well-managed food forest; actual yield varies by species, soil, and management.</w:t>
      </w:r>
    </w:p>
    <w:p>
      <w:pPr>
        <w:pStyle w:val="Compact"/>
        <w:numPr>
          <w:ilvl w:val="0"/>
          <w:numId w:val="1002"/>
        </w:numPr>
      </w:pPr>
      <w:r>
        <w:rPr>
          <w:b/>
          <w:bCs/>
        </w:rPr>
        <w:t xml:space="preserve">Implementation costs are illustrative</w:t>
      </w:r>
      <w:r>
        <w:t xml:space="preserve"> </w:t>
      </w:r>
      <w:r>
        <w:t xml:space="preserve">— default per-acre values ($50k GI, $10k FF, $5k HD) are order-of-magnitude placeholders, not sourced from specific projects.</w:t>
      </w:r>
    </w:p>
    <w:p>
      <w:pPr>
        <w:pStyle w:val="Compact"/>
        <w:numPr>
          <w:ilvl w:val="0"/>
          <w:numId w:val="1002"/>
        </w:numPr>
      </w:pPr>
      <w:r>
        <w:rPr>
          <w:b/>
          <w:bCs/>
        </w:rPr>
        <w:t xml:space="preserve">Surrogate does not cover cost or heat-priority mode</w:t>
      </w:r>
      <w:r>
        <w:t xml:space="preserve"> </w:t>
      </w:r>
      <w:r>
        <w:t xml:space="preserve">— the optimizer searches ecological outcomes only; cost constraints and spatial weighting effects are not included in surrogate predictions.</w:t>
      </w:r>
    </w:p>
    <w:p>
      <w:r>
        <w:pict>
          <v:rect style="width:0;height:1.5pt" o:hralign="center" o:hrstd="t" o:hr="t"/>
        </w:pict>
      </w:r>
    </w:p>
    <w:bookmarkEnd w:id="13"/>
    <w:bookmarkStart w:id="14" w:name="computation-architecture"/>
    <w:p>
      <w:pPr>
        <w:pStyle w:val="Heading2"/>
      </w:pPr>
      <w:r>
        <w:t xml:space="preserve">Computation architecture</w:t>
      </w:r>
    </w:p>
    <w:p>
      <w:pPr>
        <w:pStyle w:val="FirstParagraph"/>
      </w:pPr>
      <w:r>
        <w:t xml:space="preserve">The full raster model provides the detailed spatial biophysical calculations. The lookup table makes the app responsive. The surrogate model makes large-scale scenario search possible.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2026-05-06T19:10:44Z</dcterms:created>
  <dcterms:modified xsi:type="dcterms:W3CDTF">2026-05-06T19:10:44Z</dcterms:modified>
</cp:coreProperties>
</file>

<file path=docProps/custom.xml><?xml version="1.0" encoding="utf-8"?>
<Properties xmlns="http://schemas.openxmlformats.org/officeDocument/2006/custom-properties" xmlns:vt="http://schemas.openxmlformats.org/officeDocument/2006/docPropsVTypes"/>
</file>