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ecosystem-explorer-ui-reference"/>
    <w:p>
      <w:pPr>
        <w:pStyle w:val="Heading1"/>
      </w:pPr>
      <w:r>
        <w:t xml:space="preserve">Ecosystem Explorer — UI Reference</w:t>
      </w:r>
    </w:p>
    <w:p>
      <w:pPr>
        <w:pStyle w:val="FirstParagraph"/>
      </w:pPr>
      <w:r>
        <w:t xml:space="preserve">Every visible element in the app, what it means, and how it is computed.</w:t>
      </w:r>
    </w:p>
    <w:p>
      <w:r>
        <w:pict>
          <v:rect style="width:0;height:1.5pt" o:hralign="center" o:hrstd="t" o:hr="t"/>
        </w:pict>
      </w:r>
    </w:p>
    <w:bookmarkStart w:id="12" w:name="metric-cards-row-1-three-columns"/>
    <w:p>
      <w:pPr>
        <w:pStyle w:val="Heading2"/>
      </w:pPr>
      <w:r>
        <w:t xml:space="preserve">Metric Cards — Row 1 (three columns)</w:t>
      </w:r>
    </w:p>
    <w:bookmarkStart w:id="9" w:name="flood-risk-reduction"/>
    <w:p>
      <w:pPr>
        <w:pStyle w:val="Heading3"/>
      </w:pPr>
      <w:r>
        <w:t xml:space="preserve">Flood Risk Reduction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 unitless index of how much the scenario reduces storm runoff potential relative to fully paved land. Higher is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mean_CN</w:t>
            </w:r>
            <w:r>
              <w:t xml:space="preserve">, where </w:t>
            </w:r>
            <w:r>
              <w:rPr>
                <w:rStyle w:val="VerbatimChar"/>
              </w:rPr>
              <w:t xml:space="preserve">mean_CN</w:t>
            </w:r>
            <w:r>
              <w:t xml:space="preserve"> is the area-weighted average SCS Curve Number across all pixels.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UFR_biophysical_table_MN.csv</w:t>
            </w:r>
            <w:r>
              <w:t xml:space="preserve"> (CN values by lucode × soil group), </w:t>
            </w:r>
            <w:r>
              <w:rPr>
                <w:rStyle w:val="VerbatimChar"/>
              </w:rPr>
              <w:t xml:space="preserve">soil_group_MN.tif</w:t>
            </w:r>
            <w:r>
              <w:t xml:space="preserve">, </w:t>
            </w:r>
            <w:r>
              <w:rPr>
                <w:rStyle w:val="VerbatimChar"/>
              </w:rPr>
              <w:t xml:space="preserve">LULC_NLCD_2021_MN.tif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Difference vs baseline (</w:t>
            </w:r>
            <w:r>
              <w:rPr>
                <w:rStyle w:val="VerbatimChar"/>
              </w:rPr>
              <w:t xml:space="preserve">BASELINE_CN = 75.7</w:t>
            </w:r>
            <w:r>
              <w:t xml:space="preserve"> → baseline index = 24.3).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Not a direct percentage reduction in runoff volume — it is a CN-derived index. Green infrastructure (NLCD 90) drives the largest improvements; high-density development (NLCD 24) makes it worse.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emperature-change"/>
    <w:p>
      <w:pPr>
        <w:pStyle w:val="Heading3"/>
      </w:pPr>
      <w:r>
        <w:t xml:space="preserve">Temperature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Approximate air-temperature difference vs the unmodified baseline, expressed as a direction and magnitude (e.g. “1.2°F cooler” or “0.8°F warmer”).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(scenario HM − baseline HM) × 4.0°F/HM unit</w:t>
            </w:r>
            <w:r>
              <w:t xml:space="preserve">, where </w:t>
            </w:r>
            <w:r>
              <w:rPr>
                <w:rStyle w:val="VerbatimChar"/>
              </w:rPr>
              <w:t xml:space="preserve">HM = (shade + kc) / 2</w:t>
            </w:r>
            <w:r>
              <w:t xml:space="preserve"> per InVEST Urban Cooling Model. Calibration: 4.0°F/HM is an approximate midpoint from InVEST UCM literature (range 2–5°C per HM unit); not locally calibrated for Minneapolis. Treat as directional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biophysical_table_urban_cooling.csv</w:t>
            </w:r>
            <w:r>
              <w:t xml:space="preserve"> (shade and kc columns per NLCD lucode).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>Raw HM values for the scenario and baseline shown side-by-side (e.g. “HM 0.3142 vs 0.2719”).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Calibration factor of 4 °F/HM unit is approximate for Minneapolis; accuracy is roughly ±2 °F. The HM index is a proxy, not a direct temperature measurement.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runoff-prevented"/>
    <w:p>
      <w:pPr>
        <w:pStyle w:val="Heading3"/>
      </w:pPr>
      <w:r>
        <w:t xml:space="preserve">Runoff Prevented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Total stormwater runoff volume generated under this scenario’s land cover for a 2-inch design storm, across all developed land. Lower = less runoff, i.e. more is being retained.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SCS method: </w:t>
            </w:r>
            <w:r>
              <w:rPr>
                <w:rStyle w:val="VerbatimChar"/>
              </w:rPr>
              <w:t xml:space="preserve">S = (1000/CN) − 10</w:t>
            </w:r>
            <w:r>
              <w:t xml:space="preserve">, </w:t>
            </w:r>
            <w:r>
              <w:rPr>
                <w:rStyle w:val="VerbatimChar"/>
              </w:rPr>
              <w:t xml:space="preserve">Ia = 0.2S</w:t>
            </w:r>
            <w:r>
              <w:t xml:space="preserve">, </w:t>
            </w:r>
            <w:r>
              <w:rPr>
                <w:rStyle w:val="VerbatimChar"/>
              </w:rPr>
              <w:t xml:space="preserve">Q_in = (P−Ia)²/(P−Ia+S)</w:t>
            </w:r>
            <w:r>
              <w:t xml:space="preserve">, then </w:t>
            </w:r>
            <w:r>
              <w:rPr>
                <w:rStyle w:val="VerbatimChar"/>
              </w:rPr>
              <w:t xml:space="preserve">(Q_in/12) × total_developed_acres</w:t>
            </w:r>
            <w:r>
              <w:t xml:space="preserve"> in acre-feet. </w:t>
            </w:r>
            <w:r>
              <w:rPr>
                <w:rStyle w:val="VerbatimChar"/>
              </w:rPr>
              <w:t xml:space="preserve">P = 2.0 inches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Derived from </w:t>
            </w:r>
            <w:r>
              <w:rPr>
                <w:rStyle w:val="VerbatimChar"/>
              </w:rPr>
              <w:t xml:space="preserve">mean_CN</w:t>
            </w:r>
            <w:r>
              <w:t xml:space="preserve"> (see Flood Risk Reduction) and total developed acreage (</w:t>
            </w:r>
            <w:r>
              <w:rPr>
                <w:rStyle w:val="VerbatimChar"/>
              </w:rPr>
              <w:t xml:space="preserve">n_developed_pixels × 0.222 acres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>Shows the scenario runoff volume, not an explicit delta from baseline. The cost-effectiveness ratio “Cost / Acre-Foot Prevented” is where the baseline delta is computed. A 2-inch storm represents a common minor design event; results for larger storms will differ.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metric-cards-row-2-two-columns"/>
    <w:p>
      <w:pPr>
        <w:pStyle w:val="Heading2"/>
      </w:pPr>
      <w:r>
        <w:t xml:space="preserve">Metric Cards — Row 2 (two columns)</w:t>
      </w:r>
    </w:p>
    <w:bookmarkStart w:id="13" w:name="food-production"/>
    <w:p>
      <w:pPr>
        <w:pStyle w:val="Heading3"/>
      </w:pPr>
      <w:r>
        <w:t xml:space="preserve">Food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Annual food yield from pixels converted to food forest land cover, in millions of pounds per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n_food_forest_pixels × 0.222 acres/pixel × 11,500 lbs/acre/year ÷ 1,000,000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Pixel count from the scenario LULC raster (NLCD code 41 pixels). Yield benchmark from San Antonio NatCap study.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People fed, computed as </w:t>
            </w:r>
            <w:r>
              <w:rPr>
                <w:rStyle w:val="VerbatimChar"/>
              </w:rPr>
              <w:t xml:space="preserve">total_lbs ÷ 2,000 lbs/person/year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11,500 lbs/acre/year is a benchmark estimate, not site-specific. NLCD code 41 (deciduous forest) is used as a proxy for food-producing tree cover. Actual yield depends on species mix, management, and soil quality.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est.-implementation-cost"/>
    <w:p>
      <w:pPr>
        <w:pStyle w:val="Heading3"/>
      </w:pPr>
      <w:r>
        <w:t xml:space="preserve">Est. Implementation Cost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Rough order-of-magnitude total capital cost to implement all conversions in the scenario.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(n_GI_pixels × 0.222 × cost_GI) + (n_FF_pixels × 0.222 × cost_FF) + (n_HD_pixels × 0.222 × cost_HD)</w:t>
            </w:r>
            <w:r>
              <w:t xml:space="preserve">, divided by 1,000,000 for $M display.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Pixel counts from the scenario LULC; per-acre costs from the sidebar sliders.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Does not include maintenance, land acquisition, or displacement costs. Defaults ($50k/acre GI, $10k/acre FF, $5k/acre HD) are rough midpoints; use the sliders to reflect local conditions.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X829dc69744e10072c496dd2408a113055bf8004"/>
    <w:p>
      <w:pPr>
        <w:pStyle w:val="Heading2"/>
      </w:pPr>
      <w:r>
        <w:t xml:space="preserve">Metric Cards — Row 3: Cost-Effectiveness Ratios</w:t>
      </w:r>
    </w:p>
    <w:p>
      <w:pPr>
        <w:pStyle w:val="FirstParagraph"/>
      </w:pPr>
      <w:r>
        <w:t xml:space="preserve">All three ratios show </w:t>
      </w:r>
      <w:r>
        <w:rPr>
          <w:b/>
          <w:bCs/>
        </w:rPr>
        <w:t xml:space="preserve">N/A</w:t>
      </w:r>
      <w:r>
        <w:t xml:space="preserve"> when the denominator is zero or negative (no improvement vs baseline) or when total cost is zero (no conversions).</w:t>
      </w:r>
    </w:p>
    <w:bookmarkStart w:id="16" w:name="cost-acre-foot-prevented"/>
    <w:p>
      <w:pPr>
        <w:pStyle w:val="Heading3"/>
      </w:pPr>
      <w:r>
        <w:t xml:space="preserve">Cost / Acre-Foot Prevented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acre-foot of runoff reduction vs the unmodified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(BASELINE_RUNOFF_ACFT − scenario_runoff_acft)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the scenario increases runoff (e.g. all high-density). Lower is better.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ost-f-cooling"/>
    <w:p>
      <w:pPr>
        <w:pStyle w:val="Heading3"/>
      </w:pPr>
      <w:r>
        <w:t xml:space="preserve">Cost / °F Cooling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degree Fahrenheit of cooling vs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cooling_f</w:t>
            </w:r>
            <w:r>
              <w:t xml:space="preserve">, where </w:t>
            </w:r>
            <w:r>
              <w:rPr>
                <w:rStyle w:val="VerbatimChar"/>
              </w:rPr>
              <w:t xml:space="preserve">cooling_f</w:t>
            </w:r>
            <w:r>
              <w:t xml:space="preserve"> is the °F delta (positive = cooler).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the scenario is warmer than baseline. Inherits the ±2 °F uncertainty of the HM-to-temperature calibration.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st-1000-people-fed"/>
    <w:p>
      <w:pPr>
        <w:pStyle w:val="Heading3"/>
      </w:pPr>
      <w:r>
        <w:t xml:space="preserve">Cost / 1,000 People Fed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1,000 people whose annual food needs could be met by the scenario’s food forest yield.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(people_fed ÷ 1,000)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no food forest pixels are present. Inherits the food yield benchmark uncertainty.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7" w:name="sidebar-controls"/>
    <w:p>
      <w:pPr>
        <w:pStyle w:val="Heading2"/>
      </w:pPr>
      <w:r>
        <w:t xml:space="preserve">Sidebar Controls</w:t>
      </w:r>
    </w:p>
    <w:bookmarkStart w:id="20" w:name="city"/>
    <w:p>
      <w:pPr>
        <w:pStyle w:val="Heading3"/>
      </w:pPr>
      <w:r>
        <w:t xml:space="preserve">City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Selectbox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All keys from the </w:t>
            </w:r>
            <w:r>
              <w:rPr>
                <w:rStyle w:val="VerbatimChar"/>
              </w:rPr>
              <w:t xml:space="preserve">CITIES</w:t>
            </w:r>
            <w:r>
              <w:t xml:space="preserve"> dict; unavailable cities are labelled “(coming soon)”.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Selecting an unavailable city shows a warning and halts execution via </w:t>
            </w:r>
            <w:r>
              <w:rPr>
                <w:rStyle w:val="VerbatimChar"/>
              </w:rPr>
              <w:t xml:space="preserve">st.stop()</w:t>
            </w:r>
            <w:r>
              <w:t xml:space="preserve">. Selecting an available city sets data paths and baseline constants for all downstream computation.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f-developed-land-to-convert"/>
    <w:p>
      <w:pPr>
        <w:pStyle w:val="Heading3"/>
      </w:pPr>
      <w:r>
        <w:t xml:space="preserve">% of Developed Land to Convert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Slider, range 0–50, step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Determines how many developed pixels (NLCD 21/22/23) are randomly sampled for conversion. At 50%, half of all developed pixels are converted.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Pixels are chosen randomly (or heat-priority weighted); spatial placement is not optimised for corridors or parcels.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9c690ec6fbca036e7a35955631a2d4edd57a06f"/>
    <w:p>
      <w:pPr>
        <w:pStyle w:val="Heading3"/>
      </w:pPr>
      <w:r>
        <w:t xml:space="preserve">Green Infrastructure % / Food Forest % / High Density 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Number inputs, range 0–100, step 5; must sum to exactly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Splits the converted pixels into three groups. Green Infrastructure → NLCD 90 (woody wetlands). Food Forest → NLCD 41 (deciduous forest proxy). High Density → NLCD 24 (developed, high intensity).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High Density auto-fills as the remainder but can be manually overridden. The app shows a warning and stops if the three values do not sum to 100.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a0b34da926ebfe8585122643f01550a5a50a048"/>
    <w:p>
      <w:pPr>
        <w:pStyle w:val="Heading3"/>
      </w:pPr>
      <w:r>
        <w:t xml:space="preserve">Green Infrastructure (</w:t>
      </w:r>
      <m:oMath>
        <m:r>
          <m:rPr>
            <m:sty m:val="p"/>
          </m:rPr>
          <m:t>/</m:t>
        </m:r>
        <m:r>
          <m:t>acre</m:t>
        </m:r>
        <m:r>
          <m:rPr>
            <m:sty m:val="p"/>
          </m:rPr>
          <m:t>)/</m:t>
        </m:r>
        <m:r>
          <m:t>FoodForest</m:t>
        </m:r>
        <m:r>
          <m:rPr>
            <m:sty m:val="p"/>
          </m:rPr>
          <m:t>(</m:t>
        </m:r>
      </m:oMath>
      <w:r>
        <w:t xml:space="preserve">/acre) / High Density Infill ($/acre)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Sliders; GI $5k–$150k (default $50k), FF $1k–$50k (default $10k), HD $1k–$50k (default $5k)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Scales the implementation cost calculation. Does not affect ecological outcomes (CN, HM, food).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The lookup table is pre-computed at default costs; cost is recomputed from pixel counts and current slider values on every interaction.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target-heat-vulnerable-areas-toggle"/>
    <w:p>
      <w:pPr>
        <w:pStyle w:val="Heading3"/>
      </w:pPr>
      <w:r>
        <w:t xml:space="preserve">Target Heat-Vulnerable Areas (toggle)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>Toggle, default off; under subheader “Spatial Priority”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When on, converted pixels are sampled with probability weights: NLCD 23 → 1.0, NLCD 22 → 0.6, NLCD 21 → 0.3. Concentrates interventions in higher-intensity developed areas. Negative or NaN weights are clamped to 0 before normalisation.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This is a land-use intensity proxy, not a measured heat or socioeconomic vulnerability index. The lookup table (which uses uniform random placement) is bypassed in this mode; scenarios are computed live. Intended as a placeholder until CDC/ATSDR HVI data is integrated.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xample-scenario-buttons"/>
    <w:p>
      <w:pPr>
        <w:pStyle w:val="Heading3"/>
      </w:pPr>
      <w:r>
        <w:t xml:space="preserve">Example Scenario 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🌳 Food Forest (Cooling + Food Focus)</w:t>
            </w:r>
          </w:p>
        </w:tc>
        <w:tc>
          <w:tcPr/>
          <w:p>
            <w:pPr>
              <w:pStyle w:val="Compact"/>
            </w:pPr>
            <w:r>
              <w:t xml:space="preserve">10% converted, 100% food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 Green Infrastructure (Flood Mitigation)</w:t>
            </w:r>
          </w:p>
        </w:tc>
        <w:tc>
          <w:tcPr/>
          <w:p>
            <w:pPr>
              <w:pStyle w:val="Compact"/>
            </w:pPr>
            <w:r>
              <w:t xml:space="preserve">10% converted, 100% green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🏙️ High Density Development</w:t>
            </w:r>
          </w:p>
        </w:tc>
        <w:tc>
          <w:tcPr/>
          <w:p>
            <w:pPr>
              <w:pStyle w:val="Compact"/>
            </w:pPr>
            <w:r>
              <w:t xml:space="preserve">10% converted, 100% high density</w:t>
            </w:r>
          </w:p>
        </w:tc>
      </w:tr>
    </w:tbl>
    <w:p>
      <w:pPr>
        <w:pStyle w:val="BodyText"/>
      </w:pPr>
      <w:r>
        <w:t xml:space="preserve">Buttons work by writing to </w:t>
      </w:r>
      <w:r>
        <w:rPr>
          <w:rStyle w:val="VerbatimChar"/>
        </w:rPr>
        <w:t xml:space="preserve">st.session_state</w:t>
      </w:r>
      <w:r>
        <w:t xml:space="preserve"> and calling </w:t>
      </w:r>
      <w:r>
        <w:rPr>
          <w:rStyle w:val="VerbatimChar"/>
        </w:rPr>
        <w:t xml:space="preserve">st.rerun()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find-best-scenario-optimizer"/>
    <w:p>
      <w:pPr>
        <w:pStyle w:val="Heading3"/>
      </w:pPr>
      <w:r>
        <w:t xml:space="preserve">Find Best Scenario (Optimizer)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flood reduction</w:t>
            </w:r>
          </w:p>
        </w:tc>
        <w:tc>
          <w:tcPr/>
          <w:p>
            <w:pPr>
              <w:pStyle w:val="Compact"/>
            </w:pPr>
            <w:r>
              <w:t xml:space="preserve">Slider 0–90, step 5. Minimum acceptable Flood Risk Reduction index.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cooling (HM)</w:t>
            </w:r>
          </w:p>
        </w:tc>
        <w:tc>
          <w:tcPr/>
          <w:p>
            <w:pPr>
              <w:pStyle w:val="Compact"/>
            </w:pPr>
            <w:r>
              <w:t xml:space="preserve">Slider 0.0–1.0, step 0.05. Minimum acceptable mean HM value (not °F delta).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food production (M lbs)</w:t>
            </w:r>
          </w:p>
        </w:tc>
        <w:tc>
          <w:tcPr/>
          <w:p>
            <w:pPr>
              <w:pStyle w:val="Compact"/>
            </w:pPr>
            <w:r>
              <w:t xml:space="preserve">Slider 0.0–MAX_FOOD, step 0.01. Minimum acceptable food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 button</w:t>
            </w:r>
          </w:p>
        </w:tc>
        <w:tc>
          <w:tcPr/>
          <w:p>
            <w:pPr>
              <w:pStyle w:val="Compact"/>
            </w:pPr>
            <w:r>
              <w:t xml:space="preserve">Samples ~10,000 random (pct, GI%, FF%) combinations, predicts outcomes with the RF surrogate, filters to those meeting all three minimums, computes the Pareto front, de-duplicates near-identical points, and returns up to 5 top suggestions ranked by a balanced score: </w:t>
            </w:r>
            <w:r>
              <w:rPr>
                <w:rStyle w:val="VerbatimChar"/>
              </w:rPr>
              <w:t xml:space="preserve">flood/100 + HM/1.1 + food/MAX_FOOD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Surrogate predictions carry uncertainty (shown as 10th–90th percentile bands). Cost and heat-priority mode are not inputs to the surrogate — apply those after selecting a suggestion.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5" w:name="tradeoff-chart-tradeoff-analysis-tab"/>
    <w:p>
      <w:pPr>
        <w:pStyle w:val="Heading2"/>
      </w:pPr>
      <w:r>
        <w:t xml:space="preserve">Tradeoff Chart (Tradeoff Analysis tab)</w:t>
      </w:r>
    </w:p>
    <w:p>
      <w:pPr>
        <w:pStyle w:val="FirstParagraph"/>
      </w:pPr>
      <w:r>
        <w:t xml:space="preserve">Built with Plotly. X and Y axes show the two primary ecological metrics; bubble size encodes food production for saved and optimised scenarios only.</w:t>
      </w:r>
    </w:p>
    <w:bookmarkStart w:id="28" w:name="axes"/>
    <w:p>
      <w:pPr>
        <w:pStyle w:val="Heading3"/>
      </w:pPr>
      <w:r>
        <w:t xml:space="preserve">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X-axis: Flood Risk Reduction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mean_CN</w:t>
            </w:r>
            <w:r>
              <w:t xml:space="preserve">. Range fixed 0–100. Higher =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Y-axis: Heat Mitigation Index</w:t>
            </w:r>
          </w:p>
        </w:tc>
        <w:tc>
          <w:tcPr/>
          <w:p>
            <w:pPr>
              <w:pStyle w:val="Compact"/>
            </w:pPr>
            <w:r>
              <w:t xml:space="preserve">Mean HM across all pixels. Range fixed 0–1.1. Higher = better (more cooling potential). Note: this is the raw HM value, not the °F delta shown in the metric card.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ference-benchmarks-coloured-markers"/>
    <w:p>
      <w:pPr>
        <w:pStyle w:val="Heading3"/>
      </w:pPr>
      <w:r>
        <w:t xml:space="preserve">Reference Benchmarks (coloured markers)</w:t>
      </w:r>
    </w:p>
    <w:p>
      <w:pPr>
        <w:pStyle w:val="FirstParagraph"/>
      </w:pPr>
      <w:r>
        <w:t xml:space="preserve">Four fixed points representing extreme all-one-landcover scenarios for Minneapolis. Hardcoded in </w:t>
      </w:r>
      <w:r>
        <w:rPr>
          <w:rStyle w:val="VerbatimChar"/>
        </w:rPr>
        <w:t xml:space="preserve">REF_SCENARIOS</w:t>
      </w:r>
      <w:r>
        <w:t xml:space="preserve">; will need to be made city-specific when new cities are added.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833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HM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t xml:space="preserve">0.2719</w:t>
            </w:r>
          </w:p>
        </w:tc>
        <w:tc>
          <w:tcPr/>
          <w:p>
            <w:pPr>
              <w:pStyle w:val="Compact"/>
            </w:pPr>
            <w:r>
              <w:t xml:space="preserve">Current unmodified land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Food Forest (NLCD 41)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t xml:space="preserve">0.8284</w:t>
            </w:r>
          </w:p>
        </w:tc>
        <w:tc>
          <w:tcPr/>
          <w:p>
            <w:pPr>
              <w:pStyle w:val="Compact"/>
            </w:pPr>
            <w:r>
              <w:t xml:space="preserve">Every developed pixel → deciduous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Green Infra (NLCD 90)</w:t>
            </w:r>
          </w:p>
        </w:tc>
        <w:tc>
          <w:tcPr/>
          <w:p>
            <w:pPr>
              <w:pStyle w:val="Compact"/>
            </w:pPr>
            <w:r>
              <w:t xml:space="preserve">83.0</w:t>
            </w:r>
          </w:p>
        </w:tc>
        <w:tc>
          <w:tcPr/>
          <w:p>
            <w:pPr>
              <w:pStyle w:val="Compact"/>
            </w:pPr>
            <w:r>
              <w:t xml:space="preserve">0.8633</w:t>
            </w:r>
          </w:p>
        </w:tc>
        <w:tc>
          <w:tcPr/>
          <w:p>
            <w:pPr>
              <w:pStyle w:val="Compact"/>
            </w:pPr>
            <w:r>
              <w:t xml:space="preserve">Every developed pixel → woody wetlands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High Density (NLCD 24)</w:t>
            </w:r>
          </w:p>
        </w:tc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0.1923</w:t>
            </w:r>
          </w:p>
        </w:tc>
        <w:tc>
          <w:tcPr/>
          <w:p>
            <w:pPr>
              <w:pStyle w:val="Compact"/>
            </w:pPr>
            <w:r>
              <w:t xml:space="preserve">Every developed pixel → high-intensity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onvex-hull-feasible-space"/>
    <w:p>
      <w:pPr>
        <w:pStyle w:val="Heading3"/>
      </w:pPr>
      <w:r>
        <w:t xml:space="preserve">Convex Hull (feasible space)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boundary of all outcomes reachable across the pre-computed scenario grid and lookup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scipy.spatial.ConvexHull</w:t>
            </w:r>
            <w:r>
              <w:t xml:space="preserve"> on (flood_reduction, mean_HM) coordinates of all pre-computed scenarios.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The hull is over the discrete grid, not a continuous surface — scenarios near the hull boundary are achievable but the interior is not uniformly dense.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urrent-scenario-purple-star"/>
    <w:p>
      <w:pPr>
        <w:pStyle w:val="Heading3"/>
      </w:pPr>
      <w:r>
        <w:t xml:space="preserve">Current Scenario (purple star)</w:t>
      </w:r>
    </w:p>
    <w:p>
      <w:pPr>
        <w:pStyle w:val="FirstParagraph"/>
      </w:pPr>
      <w:r>
        <w:t xml:space="preserve">The outcome of the current slider settings. Crosshair lines extend from the star to both axes for easier reading.</w:t>
      </w:r>
    </w:p>
    <w:p>
      <w:r>
        <w:pict>
          <v:rect style="width:0;height:1.5pt" o:hralign="center" o:hrstd="t" o:hr="t"/>
        </w:pict>
      </w:r>
    </w:p>
    <w:bookmarkEnd w:id="31"/>
    <w:bookmarkStart w:id="32" w:name="saved-scenarios-purple-circles"/>
    <w:p>
      <w:pPr>
        <w:pStyle w:val="Heading3"/>
      </w:pPr>
      <w:r>
        <w:t xml:space="preserve">Saved Scenarios (purple circles)</w:t>
      </w:r>
    </w:p>
    <w:p>
      <w:pPr>
        <w:pStyle w:val="FirstParagraph"/>
      </w:pPr>
      <w:r>
        <w:t>Scenarios explicitly saved by clicking “Save this scenario.” Bubble size scales with food production (</w:t>
      </w:r>
      <w:r>
        <w:rPr>
          <w:rStyle w:val="VerbatimChar"/>
        </w:rPr>
        <w:t xml:space="preserve">base + 120 × sqrt(food / MAX_FOOD)</w:t>
      </w:r>
      <w:r>
        <w:t xml:space="preserve">). Hovering shows the scenario name and all three metric values.</w:t>
      </w:r>
    </w:p>
    <w:p>
      <w:r>
        <w:pict>
          <v:rect style="width:0;height:1.5pt" o:hralign="center" o:hrstd="t" o:hr="t"/>
        </w:pict>
      </w:r>
    </w:p>
    <w:bookmarkEnd w:id="32"/>
    <w:bookmarkStart w:id="33" w:name="pareto-frontier-gold-markers-dashed-line"/>
    <w:p>
      <w:pPr>
        <w:pStyle w:val="Heading3"/>
      </w:pPr>
      <w:r>
        <w:t xml:space="preserve">Pareto Frontier (gold markers + dashed line)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subset of saved scenarios where no other saved scenario is strictly better on all three metrics simultaneously (flood, HM, food).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Iterative dominance check: a point is Pareto-efficient if no other point dominates it on all three dimensions.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Computed over saved scenarios only; adding more saved scenarios can change which points are on the frontier.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ptimised-suggestions-orange-diamonds"/>
    <w:p>
      <w:pPr>
        <w:pStyle w:val="Heading3"/>
      </w:pPr>
      <w:r>
        <w:t xml:space="preserve">Optimised Suggestions (orange diamonds)</w:t>
      </w:r>
    </w:p>
    <w:p>
      <w:pPr>
        <w:pStyle w:val="FirstParagraph"/>
      </w:pPr>
      <w:r>
        <w:t>Returned by the surrogate optimizer after clicking “Optimize.” Error bars show the 10th–90th percentile range across Random Forest trees for flood (horizontal) and HM (vertical).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bar-charts-scenario-tab"/>
    <w:p>
      <w:pPr>
        <w:pStyle w:val="Heading2"/>
      </w:pPr>
      <w:r>
        <w:t xml:space="preserve">Bar Charts (Scenario tab)</w:t>
      </w:r>
    </w:p>
    <w:p>
      <w:pPr>
        <w:pStyle w:val="FirstParagraph"/>
      </w:pPr>
      <w:r>
        <w:t xml:space="preserve">Three side-by-side bars comparing the current scenario to the unmodified baseline on the three primary metrics.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377"/>
        <w:gridCol w:w="2582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  <w:tc>
          <w:tcPr/>
          <w:p>
            <w:pPr>
              <w:pStyle w:val="Compact"/>
            </w:pPr>
            <w:r>
              <w:t xml:space="preserve">Baseline value</w:t>
            </w:r>
          </w:p>
        </w:tc>
        <w:tc>
          <w:tcPr/>
          <w:p>
            <w:pPr>
              <w:pStyle w:val="Compact"/>
            </w:pPr>
            <w:r>
              <w:t xml:space="preserve">Scenario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Risk</w:t>
            </w:r>
          </w:p>
        </w:tc>
        <w:tc>
          <w:tcPr/>
          <w:p>
            <w:pPr>
              <w:pStyle w:val="Compact"/>
            </w:pPr>
            <w:r>
              <w:t xml:space="preserve">Mean Curve Number (lower = less runoff)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BASELINE_CN</w:t>
            </w:r>
            <w:r>
              <w:t xml:space="preserve"> (75.7)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mean_CN</w:t>
            </w:r>
            <w:r>
              <w:t xml:space="preserve"> from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Cooling</w:t>
            </w:r>
          </w:p>
        </w:tc>
        <w:tc>
          <w:tcPr/>
          <w:p>
            <w:pPr>
              <w:pStyle w:val="Compact"/>
            </w:pPr>
            <w:r>
              <w:t xml:space="preserve">Heat Mitigation Index (higher = more cooling)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BASELINE_HM</w:t>
            </w:r>
            <w:r>
              <w:t xml:space="preserve"> (0.2719)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mean_HM</w:t>
            </w:r>
            <w:r>
              <w:t xml:space="preserve"> from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Production</w:t>
            </w:r>
          </w:p>
        </w:tc>
        <w:tc>
          <w:tcPr/>
          <w:p>
            <w:pPr>
              <w:pStyle w:val="Compact"/>
            </w:pPr>
            <w:r>
              <w:t xml:space="preserve">Million lbs/year</w:t>
            </w:r>
          </w:p>
        </w:tc>
        <w:tc>
          <w:tcPr/>
          <w:p>
            <w:pPr>
              <w:pStyle w:val="Compact"/>
            </w:pPr>
            <w:r>
              <w:t xml:space="preserve">0.0 (no food forest in baseline)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food_mln_lbs</w:t>
            </w:r>
            <w:r>
              <w:t xml:space="preserve"> from scenario</w:t>
            </w:r>
          </w:p>
        </w:tc>
      </w:tr>
    </w:tbl>
    <w:p>
      <w:pPr>
        <w:pStyle w:val="BodyText"/>
      </w:pPr>
      <w:r>
        <w:t xml:space="preserve">A horizontal dashed line at the baseline value is drawn on the Flood Risk and Cooling charts for visual reference. The Food Production y-axis is scaled to </w:t>
      </w:r>
      <w:r>
        <w:rPr>
          <w:rStyle w:val="VerbatimChar"/>
        </w:rPr>
        <w:t xml:space="preserve">MAX_FOOD × 1.1</w:t>
      </w:r>
      <w:r>
        <w:t xml:space="preserve"> across all pre-computed scenarios.</w:t>
      </w:r>
    </w:p>
    <w:p>
      <w:r>
        <w:pict>
          <v:rect style="width:0;height:1.5pt" o:hralign="center" o:hrstd="t" o:hr="t"/>
        </w:pict>
      </w:r>
    </w:p>
    <w:bookmarkEnd w:id="36"/>
    <w:bookmarkStart w:id="37" w:name="map-view-map-view-tab"/>
    <w:p>
      <w:pPr>
        <w:pStyle w:val="Heading2"/>
      </w:pPr>
      <w:r>
        <w:t xml:space="preserve">Map View (Map View tab)</w:t>
      </w:r>
    </w:p>
    <w:p>
      <w:pPr>
        <w:pStyle w:val="FirstParagraph"/>
      </w:pPr>
      <w:r>
        <w:t xml:space="preserve">Pixel-level raster showing which developed pixels changed and to what land cover.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 (</w:t>
            </w:r>
            <w:r>
              <w:rPr>
                <w:rStyle w:val="VerbatimChar"/>
              </w:rPr>
              <w:t xml:space="preserve">#d3d3d3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Developed pixel,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Teal (</w:t>
            </w:r>
            <w:r>
              <w:rPr>
                <w:rStyle w:val="VerbatimChar"/>
              </w:rPr>
              <w:t xml:space="preserve">#2196a0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Green Infrastructure (NLCD 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(</w:t>
            </w:r>
            <w:r>
              <w:rPr>
                <w:rStyle w:val="VerbatimChar"/>
              </w:rPr>
              <w:t xml:space="preserve">#4caf50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Food Forest (NLCD 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(</w:t>
            </w:r>
            <w:r>
              <w:rPr>
                <w:rStyle w:val="VerbatimChar"/>
              </w:rPr>
              <w:t xml:space="preserve">#e53935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High Density (NLCD 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Outside city boundary (</w:t>
            </w:r>
            <w:r>
              <w:rPr>
                <w:rStyle w:val="VerbatimChar"/>
              </w:rPr>
              <w:t xml:space="preserve">NODATA = -128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When heat-priority mode is on, teal/green/red pixels are concentrated in higher-intensity developed areas rather than uniformly distributed.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2026-05-03T22:09:43Z</dcterms:created>
  <dcterms:modified xsi:type="dcterms:W3CDTF">2026-05-03T22:09:43Z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