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Preliminary GABRIEL v9 Report</w:t>
      </w:r>
    </w:p>
    <w:p>
      <w:pPr>
        <w:jc w:val="center"/>
      </w:pPr>
      <w:r>
        <w:rPr>
          <w:b/>
          <w:sz w:val="28"/>
        </w:rPr>
        <w:t>Peer-Community Comparability in Massachusetts Municipal Wage-Setting Documents</w:t>
      </w:r>
    </w:p>
    <w:p>
      <w:pPr>
        <w:jc w:val="center"/>
      </w:pPr>
      <w:r>
        <w:rPr>
          <w:sz w:val="24"/>
        </w:rPr>
        <w:t>Descriptive evidence from a 32-row public-source causal corpus</w:t>
      </w:r>
    </w:p>
    <w:p/>
    <w:p>
      <w:pPr>
        <w:jc w:val="center"/>
      </w:pPr>
      <w:r>
        <w:rPr>
          <w:sz w:val="20"/>
        </w:rPr>
        <w:t>Prepared for internal discussion | June 25, 2026</w:t>
      </w:r>
    </w:p>
    <w:p/>
    <w:tbl>
      <w:tblPr>
        <w:tblW w:type="auto" w:w="0"/>
        <w:jc w:val="center"/>
        <w:tblLook w:firstColumn="1" w:firstRow="1" w:lastColumn="0" w:lastRow="0" w:noHBand="0" w:noVBand="1" w:val="04A0"/>
      </w:tblPr>
      <w:tblGrid>
        <w:gridCol w:w="10080"/>
      </w:tblGrid>
      <w:tr>
        <w:tc>
          <w:tcPr>
            <w:tcW w:type="dxa" w:w="10080"/>
            <w:shd w:fill="F3F6FA"/>
          </w:tcPr>
          <w:p>
            <w:r>
              <w:rPr>
                <w:b/>
                <w:sz w:val="20"/>
              </w:rPr>
              <w:t>Core takeaway</w:t>
            </w:r>
          </w:p>
          <w:p>
            <w:r>
              <w:rPr>
                <w:sz w:val="18"/>
              </w:rPr>
              <w:t>GABRIEL v9 finds a real comparability signal, but it is concentrated in safety-side arbitration and award-style documents. Ordinary CBAs, including most safety and non-safety CBAs, contain much less explicit peer-community comparability language. The current evidence keeps H1 plausible but underidentified.</w:t>
            </w:r>
          </w:p>
        </w:tc>
      </w:tr>
    </w:tbl>
    <w:p/>
    <w:p>
      <w:r>
        <w:br w:type="page"/>
      </w:r>
    </w:p>
    <w:p>
      <w:pPr>
        <w:pStyle w:val="Heading1"/>
      </w:pPr>
      <w:r>
        <w:t>Executive summary</w:t>
      </w:r>
    </w:p>
    <w:p>
      <w:pPr>
        <w:pStyle w:val="ListBullet"/>
      </w:pPr>
      <w:r>
        <w:t>The v9 corpus contains 32 causal rows across 9 Massachusetts cities, with 12 healthy matched safety rows (9 exact-cycle and 3 overlap-cycle).</w:t>
      </w:r>
    </w:p>
    <w:p>
      <w:pPr>
        <w:pStyle w:val="ListBullet"/>
      </w:pPr>
      <w:r>
        <w:t>The pooled safety/non-safety comparison shows a higher mean comparability score for safety rows. But the split is heavily shaped by source type: arbitration-award rows score much higher than ordinary CBA rows.</w:t>
      </w:r>
    </w:p>
    <w:p>
      <w:pPr>
        <w:pStyle w:val="ListBullet"/>
      </w:pPr>
      <w:r>
        <w:t>When arbitration-award rows are excluded, the safety/non-safety gap becomes much smaller. This suggests that the public corpus is measuring both wage-setting mechanisms and document-production differences.</w:t>
      </w:r>
    </w:p>
    <w:p>
      <w:pPr>
        <w:pStyle w:val="ListBullet"/>
      </w:pPr>
      <w:r>
        <w:t>The best current interpretation is descriptive rather than causal: explicit peer-community wage comparability is highly visible in safety-side arbitration/award documents, while ordinary CBAs often record the wage outcome without explaining the bargaining logic.</w:t>
      </w:r>
    </w:p>
    <w:p>
      <w:pPr>
        <w:pStyle w:val="ListBullet"/>
      </w:pPr>
      <w:r>
        <w:t>The next high-value empirical task is to find non-safety reasoning documents or proxy materials - especially public meeting packets, bargaining exhibits, factfinding-like documents, or settlement memos - in Newton, Somerville, and Boston.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7"/>
              </w:rPr>
            </w:r>
            <w:r>
              <w:rPr>
                <w:b/>
                <w:sz w:val="17"/>
              </w:rPr>
              <w:t>Measure</w:t>
            </w:r>
          </w:p>
        </w:tc>
        <w:tc>
          <w:tcPr>
            <w:tcW w:type="dxa" w:w="5040"/>
            <w:shd w:fill="D9EAF7"/>
            <w:vAlign w:val="center"/>
          </w:tcPr>
          <w:p>
            <w:r>
              <w:rPr>
                <w:sz w:val="17"/>
              </w:rPr>
            </w:r>
            <w:r>
              <w:rPr>
                <w:b/>
                <w:sz w:val="17"/>
              </w:rPr>
              <w:t>Value</w:t>
            </w:r>
          </w:p>
        </w:tc>
      </w:tr>
      <w:tr>
        <w:tc>
          <w:tcPr>
            <w:tcW w:type="dxa" w:w="5040"/>
            <w:vAlign w:val="top"/>
          </w:tcPr>
          <w:p>
            <w:r>
              <w:rPr>
                <w:sz w:val="17"/>
              </w:rPr>
            </w:r>
            <w:r>
              <w:rPr>
                <w:b w:val="0"/>
                <w:sz w:val="17"/>
              </w:rPr>
              <w:t>Causal corpus rows</w:t>
            </w:r>
          </w:p>
        </w:tc>
        <w:tc>
          <w:tcPr>
            <w:tcW w:type="dxa" w:w="5040"/>
            <w:vAlign w:val="top"/>
          </w:tcPr>
          <w:p>
            <w:r>
              <w:rPr>
                <w:sz w:val="17"/>
              </w:rPr>
            </w:r>
            <w:r>
              <w:rPr>
                <w:b w:val="0"/>
                <w:sz w:val="17"/>
              </w:rPr>
              <w:t>32</w:t>
            </w:r>
          </w:p>
        </w:tc>
      </w:tr>
      <w:tr>
        <w:tc>
          <w:tcPr>
            <w:tcW w:type="dxa" w:w="5040"/>
            <w:vAlign w:val="top"/>
          </w:tcPr>
          <w:p>
            <w:r>
              <w:rPr>
                <w:sz w:val="17"/>
              </w:rPr>
            </w:r>
            <w:r>
              <w:rPr>
                <w:b w:val="0"/>
                <w:sz w:val="17"/>
              </w:rPr>
              <w:t>Cities</w:t>
            </w:r>
          </w:p>
        </w:tc>
        <w:tc>
          <w:tcPr>
            <w:tcW w:type="dxa" w:w="5040"/>
            <w:vAlign w:val="top"/>
          </w:tcPr>
          <w:p>
            <w:r>
              <w:rPr>
                <w:sz w:val="17"/>
              </w:rPr>
            </w:r>
            <w:r>
              <w:rPr>
                <w:b w:val="0"/>
                <w:sz w:val="17"/>
              </w:rPr>
              <w:t>9</w:t>
            </w:r>
          </w:p>
        </w:tc>
      </w:tr>
      <w:tr>
        <w:tc>
          <w:tcPr>
            <w:tcW w:type="dxa" w:w="5040"/>
            <w:vAlign w:val="top"/>
          </w:tcPr>
          <w:p>
            <w:r>
              <w:rPr>
                <w:sz w:val="17"/>
              </w:rPr>
            </w:r>
            <w:r>
              <w:rPr>
                <w:b w:val="0"/>
                <w:sz w:val="17"/>
              </w:rPr>
              <w:t>Safety rows</w:t>
            </w:r>
          </w:p>
        </w:tc>
        <w:tc>
          <w:tcPr>
            <w:tcW w:type="dxa" w:w="5040"/>
            <w:vAlign w:val="top"/>
          </w:tcPr>
          <w:p>
            <w:r>
              <w:rPr>
                <w:sz w:val="17"/>
              </w:rPr>
            </w:r>
            <w:r>
              <w:rPr>
                <w:b w:val="0"/>
                <w:sz w:val="17"/>
              </w:rPr>
              <w:t>15</w:t>
            </w:r>
          </w:p>
        </w:tc>
      </w:tr>
      <w:tr>
        <w:tc>
          <w:tcPr>
            <w:tcW w:type="dxa" w:w="5040"/>
            <w:vAlign w:val="top"/>
          </w:tcPr>
          <w:p>
            <w:r>
              <w:rPr>
                <w:sz w:val="17"/>
              </w:rPr>
            </w:r>
            <w:r>
              <w:rPr>
                <w:b w:val="0"/>
                <w:sz w:val="17"/>
              </w:rPr>
              <w:t>Non-safety rows</w:t>
            </w:r>
          </w:p>
        </w:tc>
        <w:tc>
          <w:tcPr>
            <w:tcW w:type="dxa" w:w="5040"/>
            <w:vAlign w:val="top"/>
          </w:tcPr>
          <w:p>
            <w:r>
              <w:rPr>
                <w:sz w:val="17"/>
              </w:rPr>
            </w:r>
            <w:r>
              <w:rPr>
                <w:b w:val="0"/>
                <w:sz w:val="17"/>
              </w:rPr>
              <w:t>17</w:t>
            </w:r>
          </w:p>
        </w:tc>
      </w:tr>
      <w:tr>
        <w:tc>
          <w:tcPr>
            <w:tcW w:type="dxa" w:w="5040"/>
            <w:vAlign w:val="top"/>
          </w:tcPr>
          <w:p>
            <w:r>
              <w:rPr>
                <w:sz w:val="17"/>
              </w:rPr>
            </w:r>
            <w:r>
              <w:rPr>
                <w:b w:val="0"/>
                <w:sz w:val="17"/>
              </w:rPr>
              <w:t>CBA rows</w:t>
            </w:r>
          </w:p>
        </w:tc>
        <w:tc>
          <w:tcPr>
            <w:tcW w:type="dxa" w:w="5040"/>
            <w:vAlign w:val="top"/>
          </w:tcPr>
          <w:p>
            <w:r>
              <w:rPr>
                <w:sz w:val="17"/>
              </w:rPr>
            </w:r>
            <w:r>
              <w:rPr>
                <w:b w:val="0"/>
                <w:sz w:val="17"/>
              </w:rPr>
              <w:t>29</w:t>
            </w:r>
          </w:p>
        </w:tc>
      </w:tr>
      <w:tr>
        <w:tc>
          <w:tcPr>
            <w:tcW w:type="dxa" w:w="5040"/>
            <w:vAlign w:val="top"/>
          </w:tcPr>
          <w:p>
            <w:r>
              <w:rPr>
                <w:sz w:val="17"/>
              </w:rPr>
            </w:r>
            <w:r>
              <w:rPr>
                <w:b w:val="0"/>
                <w:sz w:val="17"/>
              </w:rPr>
              <w:t>Arbitration-award rows</w:t>
            </w:r>
          </w:p>
        </w:tc>
        <w:tc>
          <w:tcPr>
            <w:tcW w:type="dxa" w:w="5040"/>
            <w:vAlign w:val="top"/>
          </w:tcPr>
          <w:p>
            <w:r>
              <w:rPr>
                <w:sz w:val="17"/>
              </w:rPr>
            </w:r>
            <w:r>
              <w:rPr>
                <w:b w:val="0"/>
                <w:sz w:val="17"/>
              </w:rPr>
              <w:t>3</w:t>
            </w:r>
          </w:p>
        </w:tc>
      </w:tr>
      <w:tr>
        <w:tc>
          <w:tcPr>
            <w:tcW w:type="dxa" w:w="5040"/>
            <w:vAlign w:val="top"/>
          </w:tcPr>
          <w:p>
            <w:r>
              <w:rPr>
                <w:sz w:val="17"/>
              </w:rPr>
            </w:r>
            <w:r>
              <w:rPr>
                <w:b w:val="0"/>
                <w:sz w:val="17"/>
              </w:rPr>
              <w:t>Healthy matched safety rows</w:t>
            </w:r>
          </w:p>
        </w:tc>
        <w:tc>
          <w:tcPr>
            <w:tcW w:type="dxa" w:w="5040"/>
            <w:vAlign w:val="top"/>
          </w:tcPr>
          <w:p>
            <w:r>
              <w:rPr>
                <w:sz w:val="17"/>
              </w:rPr>
            </w:r>
            <w:r>
              <w:rPr>
                <w:b w:val="0"/>
                <w:sz w:val="17"/>
              </w:rPr>
              <w:t>12</w:t>
            </w:r>
          </w:p>
        </w:tc>
      </w:tr>
      <w:tr>
        <w:tc>
          <w:tcPr>
            <w:tcW w:type="dxa" w:w="5040"/>
            <w:vAlign w:val="top"/>
          </w:tcPr>
          <w:p>
            <w:r>
              <w:rPr>
                <w:sz w:val="17"/>
              </w:rPr>
            </w:r>
            <w:r>
              <w:rPr>
                <w:b w:val="0"/>
                <w:sz w:val="17"/>
              </w:rPr>
              <w:t>Exact-cycle matched safety rows</w:t>
            </w:r>
          </w:p>
        </w:tc>
        <w:tc>
          <w:tcPr>
            <w:tcW w:type="dxa" w:w="5040"/>
            <w:vAlign w:val="top"/>
          </w:tcPr>
          <w:p>
            <w:r>
              <w:rPr>
                <w:sz w:val="17"/>
              </w:rPr>
            </w:r>
            <w:r>
              <w:rPr>
                <w:b w:val="0"/>
                <w:sz w:val="17"/>
              </w:rPr>
              <w:t>9</w:t>
            </w:r>
          </w:p>
        </w:tc>
      </w:tr>
      <w:tr>
        <w:tc>
          <w:tcPr>
            <w:tcW w:type="dxa" w:w="5040"/>
            <w:vAlign w:val="top"/>
          </w:tcPr>
          <w:p>
            <w:r>
              <w:rPr>
                <w:sz w:val="17"/>
              </w:rPr>
            </w:r>
            <w:r>
              <w:rPr>
                <w:b w:val="0"/>
                <w:sz w:val="17"/>
              </w:rPr>
              <w:t>Overlap-cycle matched safety rows</w:t>
            </w:r>
          </w:p>
        </w:tc>
        <w:tc>
          <w:tcPr>
            <w:tcW w:type="dxa" w:w="5040"/>
            <w:vAlign w:val="top"/>
          </w:tcPr>
          <w:p>
            <w:r>
              <w:rPr>
                <w:sz w:val="17"/>
              </w:rPr>
            </w:r>
            <w:r>
              <w:rPr>
                <w:b w:val="0"/>
                <w:sz w:val="17"/>
              </w:rPr>
              <w:t>3</w:t>
            </w:r>
          </w:p>
        </w:tc>
      </w:tr>
      <w:tr>
        <w:tc>
          <w:tcPr>
            <w:tcW w:type="dxa" w:w="5040"/>
            <w:vAlign w:val="top"/>
          </w:tcPr>
          <w:p>
            <w:r>
              <w:rPr>
                <w:sz w:val="17"/>
              </w:rPr>
            </w:r>
            <w:r>
              <w:rPr>
                <w:b w:val="0"/>
                <w:sz w:val="17"/>
              </w:rPr>
              <w:t>Unmatched safety rows</w:t>
            </w:r>
          </w:p>
        </w:tc>
        <w:tc>
          <w:tcPr>
            <w:tcW w:type="dxa" w:w="5040"/>
            <w:vAlign w:val="top"/>
          </w:tcPr>
          <w:p>
            <w:r>
              <w:rPr>
                <w:sz w:val="17"/>
              </w:rPr>
            </w:r>
            <w:r>
              <w:rPr>
                <w:b w:val="0"/>
                <w:sz w:val="17"/>
              </w:rPr>
              <w:t>3</w:t>
            </w:r>
          </w:p>
        </w:tc>
      </w:tr>
    </w:tbl>
    <w:p/>
    <w:p>
      <w:r>
        <w:br w:type="page"/>
      </w:r>
    </w:p>
    <w:p>
      <w:pPr>
        <w:pStyle w:val="Heading1"/>
      </w:pPr>
      <w:r>
        <w:t>1. Corpus and research question</w:t>
      </w:r>
    </w:p>
    <w:p>
      <w:r>
        <w:t>The working hypothesis is that police and fire wages rise faster because police/fire wage-setting relies more heavily on peer-community comparability. In this report, comparability means explicit reference to what comparable municipalities, surrounding communities, or peer public employers pay for similar work.</w:t>
      </w:r>
    </w:p>
    <w:p>
      <w:r>
        <w:t>The report is a measurement memo, not a causal estimate. The corpus is public-source and document-based. It measures explicit comparability language that appears in contracts, awards, and award-like documents; it does not observe all bargaining arguments that may have occurred off-document.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sz w:val="17"/>
              </w:rPr>
            </w:r>
            <w:r>
              <w:rPr>
                <w:b/>
                <w:sz w:val="17"/>
              </w:rPr>
              <w:t>Group</w:t>
            </w:r>
          </w:p>
        </w:tc>
        <w:tc>
          <w:tcPr>
            <w:tcW w:type="dxa" w:w="2016"/>
            <w:shd w:fill="D9EAF7"/>
            <w:vAlign w:val="center"/>
          </w:tcPr>
          <w:p>
            <w:r>
              <w:rPr>
                <w:sz w:val="17"/>
              </w:rPr>
            </w:r>
            <w:r>
              <w:rPr>
                <w:b/>
                <w:sz w:val="17"/>
              </w:rPr>
              <w:t>N</w:t>
            </w:r>
          </w:p>
        </w:tc>
        <w:tc>
          <w:tcPr>
            <w:tcW w:type="dxa" w:w="2016"/>
            <w:shd w:fill="D9EAF7"/>
            <w:vAlign w:val="center"/>
          </w:tcPr>
          <w:p>
            <w:r>
              <w:rPr>
                <w:sz w:val="17"/>
              </w:rPr>
            </w:r>
            <w:r>
              <w:rPr>
                <w:b/>
                <w:sz w:val="17"/>
              </w:rPr>
              <w:t>Mean</w:t>
            </w:r>
          </w:p>
        </w:tc>
        <w:tc>
          <w:tcPr>
            <w:tcW w:type="dxa" w:w="2016"/>
            <w:shd w:fill="D9EAF7"/>
            <w:vAlign w:val="center"/>
          </w:tcPr>
          <w:p>
            <w:r>
              <w:rPr>
                <w:sz w:val="17"/>
              </w:rPr>
            </w:r>
            <w:r>
              <w:rPr>
                <w:b/>
                <w:sz w:val="17"/>
              </w:rPr>
              <w:t>Median</w:t>
            </w:r>
          </w:p>
        </w:tc>
        <w:tc>
          <w:tcPr>
            <w:tcW w:type="dxa" w:w="2016"/>
            <w:shd w:fill="D9EAF7"/>
            <w:vAlign w:val="center"/>
          </w:tcPr>
          <w:p>
            <w:r>
              <w:rPr>
                <w:sz w:val="17"/>
              </w:rPr>
            </w:r>
            <w:r>
              <w:rPr>
                <w:b/>
                <w:sz w:val="17"/>
              </w:rPr>
              <w:t>Max</w:t>
            </w:r>
          </w:p>
        </w:tc>
      </w:tr>
      <w:tr>
        <w:tc>
          <w:tcPr>
            <w:tcW w:type="dxa" w:w="2016"/>
            <w:vAlign w:val="top"/>
          </w:tcPr>
          <w:p>
            <w:r>
              <w:rPr>
                <w:sz w:val="17"/>
              </w:rPr>
            </w:r>
            <w:r>
              <w:rPr>
                <w:b w:val="0"/>
                <w:sz w:val="17"/>
              </w:rPr>
              <w:t>Overall</w:t>
            </w:r>
          </w:p>
        </w:tc>
        <w:tc>
          <w:tcPr>
            <w:tcW w:type="dxa" w:w="2016"/>
            <w:vAlign w:val="top"/>
          </w:tcPr>
          <w:p>
            <w:r>
              <w:rPr>
                <w:sz w:val="17"/>
              </w:rPr>
            </w:r>
            <w:r>
              <w:rPr>
                <w:b w:val="0"/>
                <w:sz w:val="17"/>
              </w:rPr>
              <w:t>32</w:t>
            </w:r>
          </w:p>
        </w:tc>
        <w:tc>
          <w:tcPr>
            <w:tcW w:type="dxa" w:w="2016"/>
            <w:vAlign w:val="top"/>
          </w:tcPr>
          <w:p>
            <w:r>
              <w:rPr>
                <w:sz w:val="17"/>
              </w:rPr>
            </w:r>
            <w:r>
              <w:rPr>
                <w:b w:val="0"/>
                <w:sz w:val="17"/>
              </w:rPr>
              <w:t>10.41</w:t>
            </w:r>
          </w:p>
        </w:tc>
        <w:tc>
          <w:tcPr>
            <w:tcW w:type="dxa" w:w="2016"/>
            <w:vAlign w:val="top"/>
          </w:tcPr>
          <w:p>
            <w:r>
              <w:rPr>
                <w:sz w:val="17"/>
              </w:rPr>
            </w:r>
            <w:r>
              <w:rPr>
                <w:b w:val="0"/>
                <w:sz w:val="17"/>
              </w:rPr>
              <w:t>5.0</w:t>
            </w:r>
          </w:p>
        </w:tc>
        <w:tc>
          <w:tcPr>
            <w:tcW w:type="dxa" w:w="2016"/>
            <w:vAlign w:val="top"/>
          </w:tcPr>
          <w:p>
            <w:r>
              <w:rPr>
                <w:sz w:val="17"/>
              </w:rPr>
            </w:r>
            <w:r>
              <w:rPr>
                <w:b w:val="0"/>
                <w:sz w:val="17"/>
              </w:rPr>
              <w:t>88</w:t>
            </w:r>
          </w:p>
        </w:tc>
      </w:tr>
      <w:tr>
        <w:tc>
          <w:tcPr>
            <w:tcW w:type="dxa" w:w="2016"/>
            <w:vAlign w:val="top"/>
          </w:tcPr>
          <w:p>
            <w:r>
              <w:rPr>
                <w:sz w:val="17"/>
              </w:rPr>
            </w:r>
            <w:r>
              <w:rPr>
                <w:b w:val="0"/>
                <w:sz w:val="17"/>
              </w:rPr>
              <w:t>Safety rows</w:t>
            </w:r>
          </w:p>
        </w:tc>
        <w:tc>
          <w:tcPr>
            <w:tcW w:type="dxa" w:w="2016"/>
            <w:vAlign w:val="top"/>
          </w:tcPr>
          <w:p>
            <w:r>
              <w:rPr>
                <w:sz w:val="17"/>
              </w:rPr>
            </w:r>
            <w:r>
              <w:rPr>
                <w:b w:val="0"/>
                <w:sz w:val="17"/>
              </w:rPr>
              <w:t>15</w:t>
            </w:r>
          </w:p>
        </w:tc>
        <w:tc>
          <w:tcPr>
            <w:tcW w:type="dxa" w:w="2016"/>
            <w:vAlign w:val="top"/>
          </w:tcPr>
          <w:p>
            <w:r>
              <w:rPr>
                <w:sz w:val="17"/>
              </w:rPr>
            </w:r>
            <w:r>
              <w:rPr>
                <w:b w:val="0"/>
                <w:sz w:val="17"/>
              </w:rPr>
              <w:t>16.80</w:t>
            </w:r>
          </w:p>
        </w:tc>
        <w:tc>
          <w:tcPr>
            <w:tcW w:type="dxa" w:w="2016"/>
            <w:vAlign w:val="top"/>
          </w:tcPr>
          <w:p>
            <w:r>
              <w:rPr>
                <w:sz w:val="17"/>
              </w:rPr>
            </w:r>
            <w:r>
              <w:rPr>
                <w:b w:val="0"/>
                <w:sz w:val="17"/>
              </w:rPr>
              <w:t>5.0</w:t>
            </w:r>
          </w:p>
        </w:tc>
        <w:tc>
          <w:tcPr>
            <w:tcW w:type="dxa" w:w="2016"/>
            <w:vAlign w:val="top"/>
          </w:tcPr>
          <w:p>
            <w:r>
              <w:rPr>
                <w:sz w:val="17"/>
              </w:rPr>
            </w:r>
            <w:r>
              <w:rPr>
                <w:b w:val="0"/>
                <w:sz w:val="17"/>
              </w:rPr>
              <w:t>88</w:t>
            </w:r>
          </w:p>
        </w:tc>
      </w:tr>
      <w:tr>
        <w:tc>
          <w:tcPr>
            <w:tcW w:type="dxa" w:w="2016"/>
            <w:vAlign w:val="top"/>
          </w:tcPr>
          <w:p>
            <w:r>
              <w:rPr>
                <w:sz w:val="17"/>
              </w:rPr>
            </w:r>
            <w:r>
              <w:rPr>
                <w:b w:val="0"/>
                <w:sz w:val="17"/>
              </w:rPr>
              <w:t>Non-safety rows</w:t>
            </w:r>
          </w:p>
        </w:tc>
        <w:tc>
          <w:tcPr>
            <w:tcW w:type="dxa" w:w="2016"/>
            <w:vAlign w:val="top"/>
          </w:tcPr>
          <w:p>
            <w:r>
              <w:rPr>
                <w:sz w:val="17"/>
              </w:rPr>
            </w:r>
            <w:r>
              <w:rPr>
                <w:b w:val="0"/>
                <w:sz w:val="17"/>
              </w:rPr>
              <w:t>17</w:t>
            </w:r>
          </w:p>
        </w:tc>
        <w:tc>
          <w:tcPr>
            <w:tcW w:type="dxa" w:w="2016"/>
            <w:vAlign w:val="top"/>
          </w:tcPr>
          <w:p>
            <w:r>
              <w:rPr>
                <w:sz w:val="17"/>
              </w:rPr>
            </w:r>
            <w:r>
              <w:rPr>
                <w:b w:val="0"/>
                <w:sz w:val="17"/>
              </w:rPr>
              <w:t>4.76</w:t>
            </w:r>
          </w:p>
        </w:tc>
        <w:tc>
          <w:tcPr>
            <w:tcW w:type="dxa" w:w="2016"/>
            <w:vAlign w:val="top"/>
          </w:tcPr>
          <w:p>
            <w:r>
              <w:rPr>
                <w:sz w:val="17"/>
              </w:rPr>
            </w:r>
            <w:r>
              <w:rPr>
                <w:b w:val="0"/>
                <w:sz w:val="17"/>
              </w:rPr>
              <w:t>5.0</w:t>
            </w:r>
          </w:p>
        </w:tc>
        <w:tc>
          <w:tcPr>
            <w:tcW w:type="dxa" w:w="2016"/>
            <w:vAlign w:val="top"/>
          </w:tcPr>
          <w:p>
            <w:r>
              <w:rPr>
                <w:sz w:val="17"/>
              </w:rPr>
            </w:r>
            <w:r>
              <w:rPr>
                <w:b w:val="0"/>
                <w:sz w:val="17"/>
              </w:rPr>
              <w:t>10</w:t>
            </w:r>
          </w:p>
        </w:tc>
      </w:tr>
      <w:tr>
        <w:tc>
          <w:tcPr>
            <w:tcW w:type="dxa" w:w="2016"/>
            <w:vAlign w:val="top"/>
          </w:tcPr>
          <w:p>
            <w:r>
              <w:rPr>
                <w:sz w:val="17"/>
              </w:rPr>
            </w:r>
            <w:r>
              <w:rPr>
                <w:b w:val="0"/>
                <w:sz w:val="17"/>
              </w:rPr>
              <w:t>CBA rows</w:t>
            </w:r>
          </w:p>
        </w:tc>
        <w:tc>
          <w:tcPr>
            <w:tcW w:type="dxa" w:w="2016"/>
            <w:vAlign w:val="top"/>
          </w:tcPr>
          <w:p>
            <w:r>
              <w:rPr>
                <w:sz w:val="17"/>
              </w:rPr>
            </w:r>
            <w:r>
              <w:rPr>
                <w:b w:val="0"/>
                <w:sz w:val="17"/>
              </w:rPr>
              <w:t>29</w:t>
            </w:r>
          </w:p>
        </w:tc>
        <w:tc>
          <w:tcPr>
            <w:tcW w:type="dxa" w:w="2016"/>
            <w:vAlign w:val="top"/>
          </w:tcPr>
          <w:p>
            <w:r>
              <w:rPr>
                <w:sz w:val="17"/>
              </w:rPr>
            </w:r>
            <w:r>
              <w:rPr>
                <w:b w:val="0"/>
                <w:sz w:val="17"/>
              </w:rPr>
              <w:t>5.52</w:t>
            </w:r>
          </w:p>
        </w:tc>
        <w:tc>
          <w:tcPr>
            <w:tcW w:type="dxa" w:w="2016"/>
            <w:vAlign w:val="top"/>
          </w:tcPr>
          <w:p>
            <w:r>
              <w:rPr>
                <w:sz w:val="17"/>
              </w:rPr>
            </w:r>
            <w:r>
              <w:rPr>
                <w:b w:val="0"/>
                <w:sz w:val="17"/>
              </w:rPr>
              <w:t>5.0</w:t>
            </w:r>
          </w:p>
        </w:tc>
        <w:tc>
          <w:tcPr>
            <w:tcW w:type="dxa" w:w="2016"/>
            <w:vAlign w:val="top"/>
          </w:tcPr>
          <w:p>
            <w:r>
              <w:rPr>
                <w:sz w:val="17"/>
              </w:rPr>
            </w:r>
            <w:r>
              <w:rPr>
                <w:b w:val="0"/>
                <w:sz w:val="17"/>
              </w:rPr>
              <w:t>25</w:t>
            </w:r>
          </w:p>
        </w:tc>
      </w:tr>
      <w:tr>
        <w:tc>
          <w:tcPr>
            <w:tcW w:type="dxa" w:w="2016"/>
            <w:vAlign w:val="top"/>
          </w:tcPr>
          <w:p>
            <w:r>
              <w:rPr>
                <w:sz w:val="17"/>
              </w:rPr>
            </w:r>
            <w:r>
              <w:rPr>
                <w:b w:val="0"/>
                <w:sz w:val="17"/>
              </w:rPr>
              <w:t>Arbitration-award rows</w:t>
            </w:r>
          </w:p>
        </w:tc>
        <w:tc>
          <w:tcPr>
            <w:tcW w:type="dxa" w:w="2016"/>
            <w:vAlign w:val="top"/>
          </w:tcPr>
          <w:p>
            <w:r>
              <w:rPr>
                <w:sz w:val="17"/>
              </w:rPr>
            </w:r>
            <w:r>
              <w:rPr>
                <w:b w:val="0"/>
                <w:sz w:val="17"/>
              </w:rPr>
              <w:t>3</w:t>
            </w:r>
          </w:p>
        </w:tc>
        <w:tc>
          <w:tcPr>
            <w:tcW w:type="dxa" w:w="2016"/>
            <w:vAlign w:val="top"/>
          </w:tcPr>
          <w:p>
            <w:r>
              <w:rPr>
                <w:sz w:val="17"/>
              </w:rPr>
            </w:r>
            <w:r>
              <w:rPr>
                <w:b w:val="0"/>
                <w:sz w:val="17"/>
              </w:rPr>
              <w:t>57.67</w:t>
            </w:r>
          </w:p>
        </w:tc>
        <w:tc>
          <w:tcPr>
            <w:tcW w:type="dxa" w:w="2016"/>
            <w:vAlign w:val="top"/>
          </w:tcPr>
          <w:p>
            <w:r>
              <w:rPr>
                <w:sz w:val="17"/>
              </w:rPr>
            </w:r>
            <w:r>
              <w:rPr>
                <w:b w:val="0"/>
                <w:sz w:val="17"/>
              </w:rPr>
              <w:t>85.0</w:t>
            </w:r>
          </w:p>
        </w:tc>
        <w:tc>
          <w:tcPr>
            <w:tcW w:type="dxa" w:w="2016"/>
            <w:vAlign w:val="top"/>
          </w:tcPr>
          <w:p>
            <w:r>
              <w:rPr>
                <w:sz w:val="17"/>
              </w:rPr>
            </w:r>
            <w:r>
              <w:rPr>
                <w:b w:val="0"/>
                <w:sz w:val="17"/>
              </w:rPr>
              <w:t>88</w:t>
            </w:r>
          </w:p>
        </w:tc>
      </w:tr>
    </w:tbl>
    <w:p/>
    <w:p>
      <w:pPr>
        <w:pStyle w:val="Heading1"/>
      </w:pPr>
      <w:r>
        <w:t>2. GABRIEL v9 measurement approach</w:t>
      </w:r>
    </w:p>
    <w:p>
      <w:r>
        <w:t>GABRIEL v9 scores one attribute: comparability_emphasis. It builds on the v8 pipeline: full-text input, verbatim quote verification, bounded retry for failed excerpts, and relevance filtering. v9 also explicitly filters generic health-insurance "comparable plan" language, because that phrase can be verbatim without being peer-wage comparability.</w:t>
      </w:r>
    </w:p>
    <w:p>
      <w:r>
        <w:rPr>
          <w:b/>
        </w:rPr>
        <w:t xml:space="preserve">Counted as comparability: </w:t>
      </w:r>
      <w:r>
        <w:t>peer communities, surrounding municipalities, external public-employer wage comparisons, pay/salary/compensation comparisons, and clearly compensation-related longevity or detail-rate comparisons.</w:t>
      </w:r>
    </w:p>
    <w:p>
      <w:r>
        <w:rPr>
          <w:b/>
        </w:rPr>
        <w:t xml:space="preserve">Not counted as comparability: </w:t>
      </w:r>
      <w:r>
        <w:t>generic health-insurance comparable-plan language, CPI/COLA alone, internal step schedules, boilerplate arbitration clauses, or vague market language without external wage comparison.</w:t>
      </w:r>
    </w:p>
    <w:p>
      <w:pPr>
        <w:pStyle w:val="Heading1"/>
      </w:pPr>
      <w:r>
        <w:t>3. Main descriptive result: source type drives much of the signal</w:t>
      </w:r>
    </w:p>
    <w:p>
      <w:r>
        <w:t>The pooled safety/non-safety split shows a large gap. Safety rows average 16.80 while non-safety rows average 4.76. On its own, that looks favorable to H1. But source type is the central caveat: arbitration-award rows average 57.67, while CBA rows average 5.52.</w:t>
      </w:r>
    </w:p>
    <w:p>
      <w:pPr>
        <w:jc w:val="center"/>
      </w:pPr>
      <w:r>
        <w:drawing>
          <wp:inline xmlns:a="http://schemas.openxmlformats.org/drawingml/2006/main" xmlns:pic="http://schemas.openxmlformats.org/drawingml/2006/picture">
            <wp:extent cx="5715000" cy="3918857"/>
            <wp:docPr id="1" name="Picture 1"/>
            <wp:cNvGraphicFramePr>
              <a:graphicFrameLocks noChangeAspect="1"/>
            </wp:cNvGraphicFramePr>
            <a:graphic>
              <a:graphicData uri="http://schemas.openxmlformats.org/drawingml/2006/picture">
                <pic:pic>
                  <pic:nvPicPr>
                    <pic:cNvPr id="0" name="v9_score_by_safety_flag.png"/>
                    <pic:cNvPicPr/>
                  </pic:nvPicPr>
                  <pic:blipFill>
                    <a:blip r:embed="rId9"/>
                    <a:stretch>
                      <a:fillRect/>
                    </a:stretch>
                  </pic:blipFill>
                  <pic:spPr>
                    <a:xfrm>
                      <a:off x="0" y="0"/>
                      <a:ext cx="5715000" cy="3918857"/>
                    </a:xfrm>
                    <a:prstGeom prst="rect"/>
                  </pic:spPr>
                </pic:pic>
              </a:graphicData>
            </a:graphic>
          </wp:inline>
        </w:drawing>
      </w:r>
    </w:p>
    <w:p>
      <w:pPr>
        <w:pStyle w:val="Caption"/>
        <w:jc w:val="center"/>
      </w:pPr>
      <w:r>
        <w:t>Figure 1. Pooled mean GABRIEL v9 score by safety flag. Descriptive only; source types are imbalanced.</w:t>
      </w:r>
    </w:p>
    <w:p>
      <w:pPr>
        <w:jc w:val="center"/>
      </w:pPr>
      <w:r>
        <w:drawing>
          <wp:inline xmlns:a="http://schemas.openxmlformats.org/drawingml/2006/main" xmlns:pic="http://schemas.openxmlformats.org/drawingml/2006/picture">
            <wp:extent cx="5715000" cy="3918857"/>
            <wp:docPr id="2" name="Picture 2"/>
            <wp:cNvGraphicFramePr>
              <a:graphicFrameLocks noChangeAspect="1"/>
            </wp:cNvGraphicFramePr>
            <a:graphic>
              <a:graphicData uri="http://schemas.openxmlformats.org/drawingml/2006/picture">
                <pic:pic>
                  <pic:nvPicPr>
                    <pic:cNvPr id="0" name="v9_score_by_source_type.png"/>
                    <pic:cNvPicPr/>
                  </pic:nvPicPr>
                  <pic:blipFill>
                    <a:blip r:embed="rId10"/>
                    <a:stretch>
                      <a:fillRect/>
                    </a:stretch>
                  </pic:blipFill>
                  <pic:spPr>
                    <a:xfrm>
                      <a:off x="0" y="0"/>
                      <a:ext cx="5715000" cy="3918857"/>
                    </a:xfrm>
                    <a:prstGeom prst="rect"/>
                  </pic:spPr>
                </pic:pic>
              </a:graphicData>
            </a:graphic>
          </wp:inline>
        </w:drawing>
      </w:r>
    </w:p>
    <w:p>
      <w:pPr>
        <w:pStyle w:val="Caption"/>
        <w:jc w:val="center"/>
      </w:pPr>
      <w:r>
        <w:t>Figure 2. Mean GABRIEL v9 score by source type. Award-style sources contain much more explicit reasoning.</w:t>
      </w:r>
    </w:p>
    <w:p>
      <w:r>
        <w:t>The top-document plot makes the pattern clear. The two highest-scoring documents are Somerville police arbitration awards. A single Arlington fire CBA is the highest-scoring ordinary CBA, based on outside-detail rate language, but most CBAs score far lower.</w:t>
      </w:r>
    </w:p>
    <w:p>
      <w:pPr>
        <w:jc w:val="center"/>
      </w:pPr>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v9_top_documents.png"/>
                    <pic:cNvPicPr/>
                  </pic:nvPicPr>
                  <pic:blipFill>
                    <a:blip r:embed="rId11"/>
                    <a:stretch>
                      <a:fillRect/>
                    </a:stretch>
                  </pic:blipFill>
                  <pic:spPr>
                    <a:xfrm>
                      <a:off x="0" y="0"/>
                      <a:ext cx="5989320" cy="3743325"/>
                    </a:xfrm>
                    <a:prstGeom prst="rect"/>
                  </pic:spPr>
                </pic:pic>
              </a:graphicData>
            </a:graphic>
          </wp:inline>
        </w:drawing>
      </w:r>
    </w:p>
    <w:p>
      <w:pPr>
        <w:pStyle w:val="Caption"/>
        <w:jc w:val="center"/>
      </w:pPr>
      <w:r>
        <w:t>Figure 3. Top GABRIEL v9 documents by score. The largest scores are concentrated in award-style safety documents.</w:t>
      </w:r>
    </w:p>
    <w:p>
      <w:pPr>
        <w:pStyle w:val="Heading1"/>
      </w:pPr>
      <w:r>
        <w:t>4. Distribution and CBA-only sensitivity</w:t>
      </w:r>
    </w:p>
    <w:p>
      <w:r>
        <w:t>The all-row distribution has a low-score mass and two high-score outliers. Once arbitration-award rows are excluded, the distribution is compressed near the bottom of the scale. This is the cleanest visual evidence that the pooled safety/non-safety gap should not be read as a pure occupation effect.</w:t>
      </w:r>
    </w:p>
    <w:p>
      <w:pPr>
        <w:jc w:val="center"/>
      </w:pPr>
      <w:r>
        <w:drawing>
          <wp:inline xmlns:a="http://schemas.openxmlformats.org/drawingml/2006/main" xmlns:pic="http://schemas.openxmlformats.org/drawingml/2006/picture">
            <wp:extent cx="5715000" cy="3673929"/>
            <wp:docPr id="4" name="Picture 4"/>
            <wp:cNvGraphicFramePr>
              <a:graphicFrameLocks noChangeAspect="1"/>
            </wp:cNvGraphicFramePr>
            <a:graphic>
              <a:graphicData uri="http://schemas.openxmlformats.org/drawingml/2006/picture">
                <pic:pic>
                  <pic:nvPicPr>
                    <pic:cNvPr id="0" name="v9_score_distribution_all.png"/>
                    <pic:cNvPicPr/>
                  </pic:nvPicPr>
                  <pic:blipFill>
                    <a:blip r:embed="rId12"/>
                    <a:stretch>
                      <a:fillRect/>
                    </a:stretch>
                  </pic:blipFill>
                  <pic:spPr>
                    <a:xfrm>
                      <a:off x="0" y="0"/>
                      <a:ext cx="5715000" cy="3673929"/>
                    </a:xfrm>
                    <a:prstGeom prst="rect"/>
                  </pic:spPr>
                </pic:pic>
              </a:graphicData>
            </a:graphic>
          </wp:inline>
        </w:drawing>
      </w:r>
    </w:p>
    <w:p>
      <w:pPr>
        <w:pStyle w:val="Caption"/>
        <w:jc w:val="center"/>
      </w:pPr>
      <w:r>
        <w:t>Figure 4. Score distribution across all 32 causal rows.</w:t>
      </w:r>
    </w:p>
    <w:p>
      <w:pPr>
        <w:jc w:val="center"/>
      </w:pPr>
      <w:r>
        <w:drawing>
          <wp:inline xmlns:a="http://schemas.openxmlformats.org/drawingml/2006/main" xmlns:pic="http://schemas.openxmlformats.org/drawingml/2006/picture">
            <wp:extent cx="5715000" cy="3673929"/>
            <wp:docPr id="5" name="Picture 5"/>
            <wp:cNvGraphicFramePr>
              <a:graphicFrameLocks noChangeAspect="1"/>
            </wp:cNvGraphicFramePr>
            <a:graphic>
              <a:graphicData uri="http://schemas.openxmlformats.org/drawingml/2006/picture">
                <pic:pic>
                  <pic:nvPicPr>
                    <pic:cNvPr id="0" name="v9_score_distribution_excluding_arbitration.png"/>
                    <pic:cNvPicPr/>
                  </pic:nvPicPr>
                  <pic:blipFill>
                    <a:blip r:embed="rId13"/>
                    <a:stretch>
                      <a:fillRect/>
                    </a:stretch>
                  </pic:blipFill>
                  <pic:spPr>
                    <a:xfrm>
                      <a:off x="0" y="0"/>
                      <a:ext cx="5715000" cy="3673929"/>
                    </a:xfrm>
                    <a:prstGeom prst="rect"/>
                  </pic:spPr>
                </pic:pic>
              </a:graphicData>
            </a:graphic>
          </wp:inline>
        </w:drawing>
      </w:r>
    </w:p>
    <w:p>
      <w:pPr>
        <w:pStyle w:val="Caption"/>
        <w:jc w:val="center"/>
      </w:pPr>
      <w:r>
        <w:t>Figure 5. Score distribution after excluding arbitration-award rows.</w:t>
      </w:r>
    </w:p>
    <w:p>
      <w:r>
        <w:t>The CBA-only safety/non-safety comparison is more modest. Safety CBAs still score somewhat higher than non-safety CBAs, but the difference is small relative to the award-vs-CBA gap. This keeps H1 alive, but it shifts the interpretation: the public CBA corpus alone does not yet show strong, widespread explicit comparability reasoning.</w:t>
      </w:r>
    </w:p>
    <w:p>
      <w:pPr>
        <w:jc w:val="center"/>
      </w:pPr>
      <w:r>
        <w:drawing>
          <wp:inline xmlns:a="http://schemas.openxmlformats.org/drawingml/2006/main" xmlns:pic="http://schemas.openxmlformats.org/drawingml/2006/picture">
            <wp:extent cx="5715000" cy="3918857"/>
            <wp:docPr id="6" name="Picture 6"/>
            <wp:cNvGraphicFramePr>
              <a:graphicFrameLocks noChangeAspect="1"/>
            </wp:cNvGraphicFramePr>
            <a:graphic>
              <a:graphicData uri="http://schemas.openxmlformats.org/drawingml/2006/picture">
                <pic:pic>
                  <pic:nvPicPr>
                    <pic:cNvPr id="0" name="v9_cba_only_safety_vs_nonsafety.png"/>
                    <pic:cNvPicPr/>
                  </pic:nvPicPr>
                  <pic:blipFill>
                    <a:blip r:embed="rId14"/>
                    <a:stretch>
                      <a:fillRect/>
                    </a:stretch>
                  </pic:blipFill>
                  <pic:spPr>
                    <a:xfrm>
                      <a:off x="0" y="0"/>
                      <a:ext cx="5715000" cy="3918857"/>
                    </a:xfrm>
                    <a:prstGeom prst="rect"/>
                  </pic:spPr>
                </pic:pic>
              </a:graphicData>
            </a:graphic>
          </wp:inline>
        </w:drawing>
      </w:r>
    </w:p>
    <w:p>
      <w:pPr>
        <w:pStyle w:val="Caption"/>
        <w:jc w:val="center"/>
      </w:pPr>
      <w:r>
        <w:t>Figure 6. CBA-only mean score by safety flag. The safety/non-safety gap shrinks after excluding awards.</w:t>
      </w:r>
    </w:p>
    <w:p>
      <w:pPr>
        <w:pStyle w:val="Heading1"/>
      </w:pPr>
      <w:r>
        <w:t>5. City, occupation, and match-tier views</w:t>
      </w:r>
    </w:p>
    <w:p>
      <w:r>
        <w:t>City-level results are dominated by Somerville because the corpus includes two high-scoring Somerville police arbitration awards. Franklin, Wayland, and Seekonk substantially improve matched coverage, but their ordinary CBA scores are mostly low.</w:t>
      </w:r>
    </w:p>
    <w:p>
      <w:pPr>
        <w:jc w:val="center"/>
      </w:pPr>
      <w:r>
        <w:drawing>
          <wp:inline xmlns:a="http://schemas.openxmlformats.org/drawingml/2006/main" xmlns:pic="http://schemas.openxmlformats.org/drawingml/2006/picture">
            <wp:extent cx="5715000" cy="3386667"/>
            <wp:docPr id="7" name="Picture 7"/>
            <wp:cNvGraphicFramePr>
              <a:graphicFrameLocks noChangeAspect="1"/>
            </wp:cNvGraphicFramePr>
            <a:graphic>
              <a:graphicData uri="http://schemas.openxmlformats.org/drawingml/2006/picture">
                <pic:pic>
                  <pic:nvPicPr>
                    <pic:cNvPr id="0" name="v9_score_by_city.png"/>
                    <pic:cNvPicPr/>
                  </pic:nvPicPr>
                  <pic:blipFill>
                    <a:blip r:embed="rId15"/>
                    <a:stretch>
                      <a:fillRect/>
                    </a:stretch>
                  </pic:blipFill>
                  <pic:spPr>
                    <a:xfrm>
                      <a:off x="0" y="0"/>
                      <a:ext cx="5715000" cy="3386667"/>
                    </a:xfrm>
                    <a:prstGeom prst="rect"/>
                  </pic:spPr>
                </pic:pic>
              </a:graphicData>
            </a:graphic>
          </wp:inline>
        </w:drawing>
      </w:r>
    </w:p>
    <w:p>
      <w:pPr>
        <w:pStyle w:val="Caption"/>
        <w:jc w:val="center"/>
      </w:pPr>
      <w:r>
        <w:t>Figure 7. Mean score by city. Somerville is the clear outlier because of police arbitration awards.</w:t>
      </w:r>
    </w:p>
    <w:p>
      <w:pPr>
        <w:jc w:val="center"/>
      </w:pPr>
      <w:r>
        <w:drawing>
          <wp:inline xmlns:a="http://schemas.openxmlformats.org/drawingml/2006/main" xmlns:pic="http://schemas.openxmlformats.org/drawingml/2006/picture">
            <wp:extent cx="5715000" cy="3918857"/>
            <wp:docPr id="8" name="Picture 8"/>
            <wp:cNvGraphicFramePr>
              <a:graphicFrameLocks noChangeAspect="1"/>
            </wp:cNvGraphicFramePr>
            <a:graphic>
              <a:graphicData uri="http://schemas.openxmlformats.org/drawingml/2006/picture">
                <pic:pic>
                  <pic:nvPicPr>
                    <pic:cNvPr id="0" name="v9_score_by_occupation_class.png"/>
                    <pic:cNvPicPr/>
                  </pic:nvPicPr>
                  <pic:blipFill>
                    <a:blip r:embed="rId16"/>
                    <a:stretch>
                      <a:fillRect/>
                    </a:stretch>
                  </pic:blipFill>
                  <pic:spPr>
                    <a:xfrm>
                      <a:off x="0" y="0"/>
                      <a:ext cx="5715000" cy="3918857"/>
                    </a:xfrm>
                    <a:prstGeom prst="rect"/>
                  </pic:spPr>
                </pic:pic>
              </a:graphicData>
            </a:graphic>
          </wp:inline>
        </w:drawing>
      </w:r>
    </w:p>
    <w:p>
      <w:pPr>
        <w:pStyle w:val="Caption"/>
        <w:jc w:val="center"/>
      </w:pPr>
      <w:r>
        <w:t>Figure 8. Mean score by occupation class. Police scores are highest, but source type is a major confounder.</w:t>
      </w:r>
    </w:p>
    <w:p>
      <w:pPr>
        <w:jc w:val="center"/>
      </w:pPr>
      <w:r>
        <w:drawing>
          <wp:inline xmlns:a="http://schemas.openxmlformats.org/drawingml/2006/main" xmlns:pic="http://schemas.openxmlformats.org/drawingml/2006/picture">
            <wp:extent cx="5715000" cy="3918857"/>
            <wp:docPr id="9" name="Picture 9"/>
            <wp:cNvGraphicFramePr>
              <a:graphicFrameLocks noChangeAspect="1"/>
            </wp:cNvGraphicFramePr>
            <a:graphic>
              <a:graphicData uri="http://schemas.openxmlformats.org/drawingml/2006/picture">
                <pic:pic>
                  <pic:nvPicPr>
                    <pic:cNvPr id="0" name="v9_city_level_safety_vs_nonsafety.png"/>
                    <pic:cNvPicPr/>
                  </pic:nvPicPr>
                  <pic:blipFill>
                    <a:blip r:embed="rId17"/>
                    <a:stretch>
                      <a:fillRect/>
                    </a:stretch>
                  </pic:blipFill>
                  <pic:spPr>
                    <a:xfrm>
                      <a:off x="0" y="0"/>
                      <a:ext cx="5715000" cy="3918857"/>
                    </a:xfrm>
                    <a:prstGeom prst="rect"/>
                  </pic:spPr>
                </pic:pic>
              </a:graphicData>
            </a:graphic>
          </wp:inline>
        </w:drawing>
      </w:r>
    </w:p>
    <w:p>
      <w:pPr>
        <w:pStyle w:val="Caption"/>
        <w:jc w:val="center"/>
      </w:pPr>
      <w:r>
        <w:t>Figure 9. City-level mean score by safety flag. This averages within city and safety status before comparing groups.</w:t>
      </w:r>
    </w:p>
    <w:p>
      <w:r>
        <w:t>The match-tier plot compares exact-cycle and overlap-cycle safety rows. Exact-cycle safety rows score slightly higher on average, but both groups are small. Match tier is useful for reporting discipline, but it does not resolve the source-type issue.</w:t>
      </w:r>
    </w:p>
    <w:p>
      <w:pPr>
        <w:jc w:val="center"/>
      </w:pPr>
      <w:r>
        <w:drawing>
          <wp:inline xmlns:a="http://schemas.openxmlformats.org/drawingml/2006/main" xmlns:pic="http://schemas.openxmlformats.org/drawingml/2006/picture">
            <wp:extent cx="5715000" cy="3918857"/>
            <wp:docPr id="10" name="Picture 10"/>
            <wp:cNvGraphicFramePr>
              <a:graphicFrameLocks noChangeAspect="1"/>
            </wp:cNvGraphicFramePr>
            <a:graphic>
              <a:graphicData uri="http://schemas.openxmlformats.org/drawingml/2006/picture">
                <pic:pic>
                  <pic:nvPicPr>
                    <pic:cNvPr id="0" name="v9_exact_vs_overlap_matched.png"/>
                    <pic:cNvPicPr/>
                  </pic:nvPicPr>
                  <pic:blipFill>
                    <a:blip r:embed="rId18"/>
                    <a:stretch>
                      <a:fillRect/>
                    </a:stretch>
                  </pic:blipFill>
                  <pic:spPr>
                    <a:xfrm>
                      <a:off x="0" y="0"/>
                      <a:ext cx="5715000" cy="3918857"/>
                    </a:xfrm>
                    <a:prstGeom prst="rect"/>
                  </pic:spPr>
                </pic:pic>
              </a:graphicData>
            </a:graphic>
          </wp:inline>
        </w:drawing>
      </w:r>
    </w:p>
    <w:p>
      <w:pPr>
        <w:pStyle w:val="Caption"/>
        <w:jc w:val="center"/>
      </w:pPr>
      <w:r>
        <w:t>Figure 10. Safety-row scores by match tier.</w:t>
      </w:r>
    </w:p>
    <w:p>
      <w:pPr>
        <w:pStyle w:val="Heading1"/>
      </w:pPr>
      <w:r>
        <w:t>6. Row-level summary and quote audit</w:t>
      </w:r>
    </w:p>
    <w:p>
      <w:r>
        <w:t>The table below lists the highest-scoring documents. The key point is not just that police rows score high; it is that the highest scores occur in arbitration-award documents that explain reasoning in a way ordinary CBAs usually do not.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Document</w:t>
            </w:r>
          </w:p>
        </w:tc>
        <w:tc>
          <w:tcPr>
            <w:tcW w:type="dxa" w:w="1440"/>
            <w:shd w:fill="D9EAF7"/>
            <w:vAlign w:val="center"/>
          </w:tcPr>
          <w:p>
            <w:r>
              <w:rPr>
                <w:sz w:val="17"/>
              </w:rPr>
            </w:r>
            <w:r>
              <w:rPr>
                <w:b/>
                <w:sz w:val="17"/>
              </w:rPr>
              <w:t>City</w:t>
            </w:r>
          </w:p>
        </w:tc>
        <w:tc>
          <w:tcPr>
            <w:tcW w:type="dxa" w:w="1440"/>
            <w:shd w:fill="D9EAF7"/>
            <w:vAlign w:val="center"/>
          </w:tcPr>
          <w:p>
            <w:r>
              <w:rPr>
                <w:sz w:val="17"/>
              </w:rPr>
            </w:r>
            <w:r>
              <w:rPr>
                <w:b/>
                <w:sz w:val="17"/>
              </w:rPr>
              <w:t>Occupation</w:t>
            </w:r>
          </w:p>
        </w:tc>
        <w:tc>
          <w:tcPr>
            <w:tcW w:type="dxa" w:w="1440"/>
            <w:shd w:fill="D9EAF7"/>
            <w:vAlign w:val="center"/>
          </w:tcPr>
          <w:p>
            <w:r>
              <w:rPr>
                <w:sz w:val="17"/>
              </w:rPr>
            </w:r>
            <w:r>
              <w:rPr>
                <w:b/>
                <w:sz w:val="17"/>
              </w:rPr>
              <w:t>Safety</w:t>
            </w:r>
          </w:p>
        </w:tc>
        <w:tc>
          <w:tcPr>
            <w:tcW w:type="dxa" w:w="1440"/>
            <w:shd w:fill="D9EAF7"/>
            <w:vAlign w:val="center"/>
          </w:tcPr>
          <w:p>
            <w:r>
              <w:rPr>
                <w:sz w:val="17"/>
              </w:rPr>
            </w:r>
            <w:r>
              <w:rPr>
                <w:b/>
                <w:sz w:val="17"/>
              </w:rPr>
              <w:t>Source type</w:t>
            </w:r>
          </w:p>
        </w:tc>
        <w:tc>
          <w:tcPr>
            <w:tcW w:type="dxa" w:w="1440"/>
            <w:shd w:fill="D9EAF7"/>
            <w:vAlign w:val="center"/>
          </w:tcPr>
          <w:p>
            <w:r>
              <w:rPr>
                <w:sz w:val="17"/>
              </w:rPr>
            </w:r>
            <w:r>
              <w:rPr>
                <w:b/>
                <w:sz w:val="17"/>
              </w:rPr>
              <w:t>Score</w:t>
            </w:r>
          </w:p>
        </w:tc>
        <w:tc>
          <w:tcPr>
            <w:tcW w:type="dxa" w:w="1440"/>
            <w:shd w:fill="D9EAF7"/>
            <w:vAlign w:val="center"/>
          </w:tcPr>
          <w:p>
            <w:r>
              <w:rPr>
                <w:sz w:val="17"/>
              </w:rPr>
            </w:r>
            <w:r>
              <w:rPr>
                <w:b/>
                <w:sz w:val="17"/>
              </w:rPr>
              <w:t>Relevant excerpts</w:t>
            </w:r>
          </w:p>
        </w:tc>
      </w:tr>
      <w:tr>
        <w:tc>
          <w:tcPr>
            <w:tcW w:type="dxa" w:w="1440"/>
            <w:vAlign w:val="top"/>
          </w:tcPr>
          <w:p>
            <w:r>
              <w:rPr>
                <w:sz w:val="17"/>
              </w:rPr>
            </w:r>
            <w:r>
              <w:rPr>
                <w:b w:val="0"/>
                <w:sz w:val="17"/>
              </w:rPr>
              <w:t>ma_somerville_police_spsoa_2012</w:t>
            </w:r>
          </w:p>
        </w:tc>
        <w:tc>
          <w:tcPr>
            <w:tcW w:type="dxa" w:w="1440"/>
            <w:vAlign w:val="top"/>
          </w:tcPr>
          <w:p>
            <w:r>
              <w:rPr>
                <w:sz w:val="17"/>
              </w:rPr>
            </w:r>
            <w:r>
              <w:rPr>
                <w:b w:val="0"/>
                <w:sz w:val="17"/>
              </w:rPr>
              <w:t>Somerville</w:t>
            </w:r>
          </w:p>
        </w:tc>
        <w:tc>
          <w:tcPr>
            <w:tcW w:type="dxa" w:w="1440"/>
            <w:vAlign w:val="top"/>
          </w:tcPr>
          <w:p>
            <w:r>
              <w:rPr>
                <w:sz w:val="17"/>
              </w:rPr>
            </w:r>
            <w:r>
              <w:rPr>
                <w:b w:val="0"/>
                <w:sz w:val="17"/>
              </w:rPr>
              <w:t>police</w:t>
            </w:r>
          </w:p>
        </w:tc>
        <w:tc>
          <w:tcPr>
            <w:tcW w:type="dxa" w:w="1440"/>
            <w:vAlign w:val="top"/>
          </w:tcPr>
          <w:p>
            <w:r>
              <w:rPr>
                <w:sz w:val="17"/>
              </w:rPr>
            </w:r>
            <w:r>
              <w:rPr>
                <w:b w:val="0"/>
                <w:sz w:val="17"/>
              </w:rPr>
              <w:t>safety</w:t>
            </w:r>
          </w:p>
        </w:tc>
        <w:tc>
          <w:tcPr>
            <w:tcW w:type="dxa" w:w="1440"/>
            <w:vAlign w:val="top"/>
          </w:tcPr>
          <w:p>
            <w:r>
              <w:rPr>
                <w:sz w:val="17"/>
              </w:rPr>
            </w:r>
            <w:r>
              <w:rPr>
                <w:b w:val="0"/>
                <w:sz w:val="17"/>
              </w:rPr>
              <w:t>arbitration_award</w:t>
            </w:r>
          </w:p>
        </w:tc>
        <w:tc>
          <w:tcPr>
            <w:tcW w:type="dxa" w:w="1440"/>
            <w:vAlign w:val="top"/>
          </w:tcPr>
          <w:p>
            <w:r>
              <w:rPr>
                <w:sz w:val="17"/>
              </w:rPr>
            </w:r>
            <w:r>
              <w:rPr>
                <w:b w:val="0"/>
                <w:sz w:val="17"/>
              </w:rPr>
              <w:t>88</w:t>
            </w:r>
          </w:p>
        </w:tc>
        <w:tc>
          <w:tcPr>
            <w:tcW w:type="dxa" w:w="1440"/>
            <w:vAlign w:val="top"/>
          </w:tcPr>
          <w:p>
            <w:r>
              <w:rPr>
                <w:sz w:val="17"/>
              </w:rPr>
            </w:r>
            <w:r>
              <w:rPr>
                <w:b w:val="0"/>
                <w:sz w:val="17"/>
              </w:rPr>
              <w:t>5</w:t>
            </w:r>
          </w:p>
        </w:tc>
      </w:tr>
      <w:tr>
        <w:tc>
          <w:tcPr>
            <w:tcW w:type="dxa" w:w="1440"/>
            <w:vAlign w:val="top"/>
          </w:tcPr>
          <w:p>
            <w:r>
              <w:rPr>
                <w:sz w:val="17"/>
              </w:rPr>
            </w:r>
            <w:r>
              <w:rPr>
                <w:b w:val="0"/>
                <w:sz w:val="17"/>
              </w:rPr>
              <w:t>ma_somerville_police_spea_2012</w:t>
            </w:r>
          </w:p>
        </w:tc>
        <w:tc>
          <w:tcPr>
            <w:tcW w:type="dxa" w:w="1440"/>
            <w:vAlign w:val="top"/>
          </w:tcPr>
          <w:p>
            <w:r>
              <w:rPr>
                <w:sz w:val="17"/>
              </w:rPr>
            </w:r>
            <w:r>
              <w:rPr>
                <w:b w:val="0"/>
                <w:sz w:val="17"/>
              </w:rPr>
              <w:t>Somerville</w:t>
            </w:r>
          </w:p>
        </w:tc>
        <w:tc>
          <w:tcPr>
            <w:tcW w:type="dxa" w:w="1440"/>
            <w:vAlign w:val="top"/>
          </w:tcPr>
          <w:p>
            <w:r>
              <w:rPr>
                <w:sz w:val="17"/>
              </w:rPr>
            </w:r>
            <w:r>
              <w:rPr>
                <w:b w:val="0"/>
                <w:sz w:val="17"/>
              </w:rPr>
              <w:t>police</w:t>
            </w:r>
          </w:p>
        </w:tc>
        <w:tc>
          <w:tcPr>
            <w:tcW w:type="dxa" w:w="1440"/>
            <w:vAlign w:val="top"/>
          </w:tcPr>
          <w:p>
            <w:r>
              <w:rPr>
                <w:sz w:val="17"/>
              </w:rPr>
            </w:r>
            <w:r>
              <w:rPr>
                <w:b w:val="0"/>
                <w:sz w:val="17"/>
              </w:rPr>
              <w:t>safety</w:t>
            </w:r>
          </w:p>
        </w:tc>
        <w:tc>
          <w:tcPr>
            <w:tcW w:type="dxa" w:w="1440"/>
            <w:vAlign w:val="top"/>
          </w:tcPr>
          <w:p>
            <w:r>
              <w:rPr>
                <w:sz w:val="17"/>
              </w:rPr>
            </w:r>
            <w:r>
              <w:rPr>
                <w:b w:val="0"/>
                <w:sz w:val="17"/>
              </w:rPr>
              <w:t>arbitration_award</w:t>
            </w:r>
          </w:p>
        </w:tc>
        <w:tc>
          <w:tcPr>
            <w:tcW w:type="dxa" w:w="1440"/>
            <w:vAlign w:val="top"/>
          </w:tcPr>
          <w:p>
            <w:r>
              <w:rPr>
                <w:sz w:val="17"/>
              </w:rPr>
            </w:r>
            <w:r>
              <w:rPr>
                <w:b w:val="0"/>
                <w:sz w:val="17"/>
              </w:rPr>
              <w:t>85</w:t>
            </w:r>
          </w:p>
        </w:tc>
        <w:tc>
          <w:tcPr>
            <w:tcW w:type="dxa" w:w="1440"/>
            <w:vAlign w:val="top"/>
          </w:tcPr>
          <w:p>
            <w:r>
              <w:rPr>
                <w:sz w:val="17"/>
              </w:rPr>
            </w:r>
            <w:r>
              <w:rPr>
                <w:b w:val="0"/>
                <w:sz w:val="17"/>
              </w:rPr>
              <w:t>4</w:t>
            </w:r>
          </w:p>
        </w:tc>
      </w:tr>
      <w:tr>
        <w:tc>
          <w:tcPr>
            <w:tcW w:type="dxa" w:w="1440"/>
            <w:vAlign w:val="top"/>
          </w:tcPr>
          <w:p>
            <w:r>
              <w:rPr>
                <w:sz w:val="17"/>
              </w:rPr>
            </w:r>
            <w:r>
              <w:rPr>
                <w:b w:val="0"/>
                <w:sz w:val="17"/>
              </w:rPr>
              <w:t>ma_arlington_fire_2021</w:t>
            </w:r>
          </w:p>
        </w:tc>
        <w:tc>
          <w:tcPr>
            <w:tcW w:type="dxa" w:w="1440"/>
            <w:vAlign w:val="top"/>
          </w:tcPr>
          <w:p>
            <w:r>
              <w:rPr>
                <w:sz w:val="17"/>
              </w:rPr>
            </w:r>
            <w:r>
              <w:rPr>
                <w:b w:val="0"/>
                <w:sz w:val="17"/>
              </w:rPr>
              <w:t>Arlington</w:t>
            </w:r>
          </w:p>
        </w:tc>
        <w:tc>
          <w:tcPr>
            <w:tcW w:type="dxa" w:w="1440"/>
            <w:vAlign w:val="top"/>
          </w:tcPr>
          <w:p>
            <w:r>
              <w:rPr>
                <w:sz w:val="17"/>
              </w:rPr>
            </w:r>
            <w:r>
              <w:rPr>
                <w:b w:val="0"/>
                <w:sz w:val="17"/>
              </w:rPr>
              <w:t>fire</w:t>
            </w:r>
          </w:p>
        </w:tc>
        <w:tc>
          <w:tcPr>
            <w:tcW w:type="dxa" w:w="1440"/>
            <w:vAlign w:val="top"/>
          </w:tcPr>
          <w:p>
            <w:r>
              <w:rPr>
                <w:sz w:val="17"/>
              </w:rPr>
            </w:r>
            <w:r>
              <w:rPr>
                <w:b w:val="0"/>
                <w:sz w:val="17"/>
              </w:rPr>
              <w:t>safety</w:t>
            </w:r>
          </w:p>
        </w:tc>
        <w:tc>
          <w:tcPr>
            <w:tcW w:type="dxa" w:w="1440"/>
            <w:vAlign w:val="top"/>
          </w:tcPr>
          <w:p>
            <w:r>
              <w:rPr>
                <w:sz w:val="17"/>
              </w:rPr>
            </w:r>
            <w:r>
              <w:rPr>
                <w:b w:val="0"/>
                <w:sz w:val="17"/>
              </w:rPr>
              <w:t>cba</w:t>
            </w:r>
          </w:p>
        </w:tc>
        <w:tc>
          <w:tcPr>
            <w:tcW w:type="dxa" w:w="1440"/>
            <w:vAlign w:val="top"/>
          </w:tcPr>
          <w:p>
            <w:r>
              <w:rPr>
                <w:sz w:val="17"/>
              </w:rPr>
            </w:r>
            <w:r>
              <w:rPr>
                <w:b w:val="0"/>
                <w:sz w:val="17"/>
              </w:rPr>
              <w:t>25</w:t>
            </w:r>
          </w:p>
        </w:tc>
        <w:tc>
          <w:tcPr>
            <w:tcW w:type="dxa" w:w="1440"/>
            <w:vAlign w:val="top"/>
          </w:tcPr>
          <w:p>
            <w:r>
              <w:rPr>
                <w:sz w:val="17"/>
              </w:rPr>
            </w:r>
            <w:r>
              <w:rPr>
                <w:b w:val="0"/>
                <w:sz w:val="17"/>
              </w:rPr>
              <w:t>1</w:t>
            </w:r>
          </w:p>
        </w:tc>
      </w:tr>
      <w:tr>
        <w:tc>
          <w:tcPr>
            <w:tcW w:type="dxa" w:w="1440"/>
            <w:vAlign w:val="top"/>
          </w:tcPr>
          <w:p>
            <w:r>
              <w:rPr>
                <w:sz w:val="17"/>
              </w:rPr>
            </w:r>
            <w:r>
              <w:rPr>
                <w:b w:val="0"/>
                <w:sz w:val="17"/>
              </w:rPr>
              <w:t>ma_franklin_public_works_2022</w:t>
            </w:r>
          </w:p>
        </w:tc>
        <w:tc>
          <w:tcPr>
            <w:tcW w:type="dxa" w:w="1440"/>
            <w:vAlign w:val="top"/>
          </w:tcPr>
          <w:p>
            <w:r>
              <w:rPr>
                <w:sz w:val="17"/>
              </w:rPr>
            </w:r>
            <w:r>
              <w:rPr>
                <w:b w:val="0"/>
                <w:sz w:val="17"/>
              </w:rPr>
              <w:t>Franklin</w:t>
            </w:r>
          </w:p>
        </w:tc>
        <w:tc>
          <w:tcPr>
            <w:tcW w:type="dxa" w:w="1440"/>
            <w:vAlign w:val="top"/>
          </w:tcPr>
          <w:p>
            <w:r>
              <w:rPr>
                <w:sz w:val="17"/>
              </w:rPr>
            </w:r>
            <w:r>
              <w:rPr>
                <w:b w:val="0"/>
                <w:sz w:val="17"/>
              </w:rPr>
              <w:t>public_works</w:t>
            </w:r>
          </w:p>
        </w:tc>
        <w:tc>
          <w:tcPr>
            <w:tcW w:type="dxa" w:w="1440"/>
            <w:vAlign w:val="top"/>
          </w:tcPr>
          <w:p>
            <w:r>
              <w:rPr>
                <w:sz w:val="17"/>
              </w:rPr>
            </w:r>
            <w:r>
              <w:rPr>
                <w:b w:val="0"/>
                <w:sz w:val="17"/>
              </w:rPr>
              <w:t>non-safety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r>
        <w:tc>
          <w:tcPr>
            <w:tcW w:type="dxa" w:w="1440"/>
            <w:vAlign w:val="top"/>
          </w:tcPr>
          <w:p>
            <w:r>
              <w:rPr>
                <w:sz w:val="17"/>
              </w:rPr>
            </w:r>
            <w:r>
              <w:rPr>
                <w:b w:val="0"/>
                <w:sz w:val="17"/>
              </w:rPr>
              <w:t>ma_franklin_other_2022</w:t>
            </w:r>
          </w:p>
        </w:tc>
        <w:tc>
          <w:tcPr>
            <w:tcW w:type="dxa" w:w="1440"/>
            <w:vAlign w:val="top"/>
          </w:tcPr>
          <w:p>
            <w:r>
              <w:rPr>
                <w:sz w:val="17"/>
              </w:rPr>
            </w:r>
            <w:r>
              <w:rPr>
                <w:b w:val="0"/>
                <w:sz w:val="17"/>
              </w:rPr>
              <w:t>Franklin</w:t>
            </w:r>
          </w:p>
        </w:tc>
        <w:tc>
          <w:tcPr>
            <w:tcW w:type="dxa" w:w="1440"/>
            <w:vAlign w:val="top"/>
          </w:tcPr>
          <w:p>
            <w:r>
              <w:rPr>
                <w:sz w:val="17"/>
              </w:rPr>
            </w:r>
            <w:r>
              <w:rPr>
                <w:b w:val="0"/>
                <w:sz w:val="17"/>
              </w:rPr>
              <w:t>other</w:t>
            </w:r>
          </w:p>
        </w:tc>
        <w:tc>
          <w:tcPr>
            <w:tcW w:type="dxa" w:w="1440"/>
            <w:vAlign w:val="top"/>
          </w:tcPr>
          <w:p>
            <w:r>
              <w:rPr>
                <w:sz w:val="17"/>
              </w:rPr>
            </w:r>
            <w:r>
              <w:rPr>
                <w:b w:val="0"/>
                <w:sz w:val="17"/>
              </w:rPr>
              <w:t>non-safety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r>
        <w:tc>
          <w:tcPr>
            <w:tcW w:type="dxa" w:w="1440"/>
            <w:vAlign w:val="top"/>
          </w:tcPr>
          <w:p>
            <w:r>
              <w:rPr>
                <w:sz w:val="17"/>
              </w:rPr>
            </w:r>
            <w:r>
              <w:rPr>
                <w:b w:val="0"/>
                <w:sz w:val="17"/>
              </w:rPr>
              <w:t>ma_wayland_fire_2020</w:t>
            </w:r>
          </w:p>
        </w:tc>
        <w:tc>
          <w:tcPr>
            <w:tcW w:type="dxa" w:w="1440"/>
            <w:vAlign w:val="top"/>
          </w:tcPr>
          <w:p>
            <w:r>
              <w:rPr>
                <w:sz w:val="17"/>
              </w:rPr>
            </w:r>
            <w:r>
              <w:rPr>
                <w:b w:val="0"/>
                <w:sz w:val="17"/>
              </w:rPr>
              <w:t>Wayland</w:t>
            </w:r>
          </w:p>
        </w:tc>
        <w:tc>
          <w:tcPr>
            <w:tcW w:type="dxa" w:w="1440"/>
            <w:vAlign w:val="top"/>
          </w:tcPr>
          <w:p>
            <w:r>
              <w:rPr>
                <w:sz w:val="17"/>
              </w:rPr>
            </w:r>
            <w:r>
              <w:rPr>
                <w:b w:val="0"/>
                <w:sz w:val="17"/>
              </w:rPr>
              <w:t>fire</w:t>
            </w:r>
          </w:p>
        </w:tc>
        <w:tc>
          <w:tcPr>
            <w:tcW w:type="dxa" w:w="1440"/>
            <w:vAlign w:val="top"/>
          </w:tcPr>
          <w:p>
            <w:r>
              <w:rPr>
                <w:sz w:val="17"/>
              </w:rPr>
            </w:r>
            <w:r>
              <w:rPr>
                <w:b w:val="0"/>
                <w:sz w:val="17"/>
              </w:rPr>
              <w:t>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r>
        <w:tc>
          <w:tcPr>
            <w:tcW w:type="dxa" w:w="1440"/>
            <w:vAlign w:val="top"/>
          </w:tcPr>
          <w:p>
            <w:r>
              <w:rPr>
                <w:sz w:val="17"/>
              </w:rPr>
            </w:r>
            <w:r>
              <w:rPr>
                <w:b w:val="0"/>
                <w:sz w:val="17"/>
              </w:rPr>
              <w:t>ma_wayland_other_2021</w:t>
            </w:r>
          </w:p>
        </w:tc>
        <w:tc>
          <w:tcPr>
            <w:tcW w:type="dxa" w:w="1440"/>
            <w:vAlign w:val="top"/>
          </w:tcPr>
          <w:p>
            <w:r>
              <w:rPr>
                <w:sz w:val="17"/>
              </w:rPr>
            </w:r>
            <w:r>
              <w:rPr>
                <w:b w:val="0"/>
                <w:sz w:val="17"/>
              </w:rPr>
              <w:t>Wayland</w:t>
            </w:r>
          </w:p>
        </w:tc>
        <w:tc>
          <w:tcPr>
            <w:tcW w:type="dxa" w:w="1440"/>
            <w:vAlign w:val="top"/>
          </w:tcPr>
          <w:p>
            <w:r>
              <w:rPr>
                <w:sz w:val="17"/>
              </w:rPr>
            </w:r>
            <w:r>
              <w:rPr>
                <w:b w:val="0"/>
                <w:sz w:val="17"/>
              </w:rPr>
              <w:t>other</w:t>
            </w:r>
          </w:p>
        </w:tc>
        <w:tc>
          <w:tcPr>
            <w:tcW w:type="dxa" w:w="1440"/>
            <w:vAlign w:val="top"/>
          </w:tcPr>
          <w:p>
            <w:r>
              <w:rPr>
                <w:sz w:val="17"/>
              </w:rPr>
            </w:r>
            <w:r>
              <w:rPr>
                <w:b w:val="0"/>
                <w:sz w:val="17"/>
              </w:rPr>
              <w:t>non-safety</w:t>
            </w:r>
          </w:p>
        </w:tc>
        <w:tc>
          <w:tcPr>
            <w:tcW w:type="dxa" w:w="1440"/>
            <w:vAlign w:val="top"/>
          </w:tcPr>
          <w:p>
            <w:r>
              <w:rPr>
                <w:sz w:val="17"/>
              </w:rPr>
            </w:r>
            <w:r>
              <w:rPr>
                <w:b w:val="0"/>
                <w:sz w:val="17"/>
              </w:rPr>
              <w:t>cba</w:t>
            </w:r>
          </w:p>
        </w:tc>
        <w:tc>
          <w:tcPr>
            <w:tcW w:type="dxa" w:w="1440"/>
            <w:vAlign w:val="top"/>
          </w:tcPr>
          <w:p>
            <w:r>
              <w:rPr>
                <w:sz w:val="17"/>
              </w:rPr>
            </w:r>
            <w:r>
              <w:rPr>
                <w:b w:val="0"/>
                <w:sz w:val="17"/>
              </w:rPr>
              <w:t>10</w:t>
            </w:r>
          </w:p>
        </w:tc>
        <w:tc>
          <w:tcPr>
            <w:tcW w:type="dxa" w:w="1440"/>
            <w:vAlign w:val="top"/>
          </w:tcPr>
          <w:p>
            <w:r>
              <w:rPr>
                <w:sz w:val="17"/>
              </w:rPr>
            </w:r>
            <w:r>
              <w:rPr>
                <w:b w:val="0"/>
                <w:sz w:val="17"/>
              </w:rPr>
              <w:t>0</w:t>
            </w:r>
          </w:p>
        </w:tc>
      </w:tr>
    </w:tbl>
    <w:p/>
    <w:p>
      <w:r>
        <w:t>GABRIEL v9 identified 10 verified relevant supporting excerpts and 3 verbatim but irrelevant or ambiguous excerpts. To avoid overquoting, the table below gives only short cue phrases. The full quote audit remains in the CSV output.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rPr>
                <w:sz w:val="17"/>
              </w:rPr>
            </w:r>
            <w:r>
              <w:rPr>
                <w:b/>
                <w:sz w:val="17"/>
              </w:rPr>
              <w:t>Document</w:t>
            </w:r>
          </w:p>
        </w:tc>
        <w:tc>
          <w:tcPr>
            <w:tcW w:type="dxa" w:w="1680"/>
            <w:shd w:fill="D9EAF7"/>
            <w:vAlign w:val="center"/>
          </w:tcPr>
          <w:p>
            <w:r>
              <w:rPr>
                <w:sz w:val="17"/>
              </w:rPr>
            </w:r>
            <w:r>
              <w:rPr>
                <w:b/>
                <w:sz w:val="17"/>
              </w:rPr>
              <w:t>City</w:t>
            </w:r>
          </w:p>
        </w:tc>
        <w:tc>
          <w:tcPr>
            <w:tcW w:type="dxa" w:w="1680"/>
            <w:shd w:fill="D9EAF7"/>
            <w:vAlign w:val="center"/>
          </w:tcPr>
          <w:p>
            <w:r>
              <w:rPr>
                <w:sz w:val="17"/>
              </w:rPr>
            </w:r>
            <w:r>
              <w:rPr>
                <w:b/>
                <w:sz w:val="17"/>
              </w:rPr>
              <w:t>Source type</w:t>
            </w:r>
          </w:p>
        </w:tc>
        <w:tc>
          <w:tcPr>
            <w:tcW w:type="dxa" w:w="1680"/>
            <w:shd w:fill="D9EAF7"/>
            <w:vAlign w:val="center"/>
          </w:tcPr>
          <w:p>
            <w:r>
              <w:rPr>
                <w:sz w:val="17"/>
              </w:rPr>
            </w:r>
            <w:r>
              <w:rPr>
                <w:b/>
                <w:sz w:val="17"/>
              </w:rPr>
              <w:t>Score</w:t>
            </w:r>
          </w:p>
        </w:tc>
        <w:tc>
          <w:tcPr>
            <w:tcW w:type="dxa" w:w="1680"/>
            <w:shd w:fill="D9EAF7"/>
            <w:vAlign w:val="center"/>
          </w:tcPr>
          <w:p>
            <w:r>
              <w:rPr>
                <w:sz w:val="17"/>
              </w:rPr>
            </w:r>
            <w:r>
              <w:rPr>
                <w:b/>
                <w:sz w:val="17"/>
              </w:rPr>
              <w:t>Relevant excerpts</w:t>
            </w:r>
          </w:p>
        </w:tc>
        <w:tc>
          <w:tcPr>
            <w:tcW w:type="dxa" w:w="1680"/>
            <w:shd w:fill="D9EAF7"/>
            <w:vAlign w:val="center"/>
          </w:tcPr>
          <w:p>
            <w:r>
              <w:rPr>
                <w:sz w:val="17"/>
              </w:rPr>
            </w:r>
            <w:r>
              <w:rPr>
                <w:b/>
                <w:sz w:val="17"/>
              </w:rPr>
              <w:t>Short cue phrases</w:t>
            </w:r>
          </w:p>
        </w:tc>
      </w:tr>
      <w:tr>
        <w:tc>
          <w:tcPr>
            <w:tcW w:type="dxa" w:w="1680"/>
            <w:vAlign w:val="top"/>
          </w:tcPr>
          <w:p>
            <w:r>
              <w:rPr>
                <w:sz w:val="17"/>
              </w:rPr>
            </w:r>
            <w:r>
              <w:rPr>
                <w:b w:val="0"/>
                <w:sz w:val="17"/>
              </w:rPr>
              <w:t>ma_arlington_fire_2021</w:t>
            </w:r>
          </w:p>
        </w:tc>
        <w:tc>
          <w:tcPr>
            <w:tcW w:type="dxa" w:w="1680"/>
            <w:vAlign w:val="top"/>
          </w:tcPr>
          <w:p>
            <w:r>
              <w:rPr>
                <w:sz w:val="17"/>
              </w:rPr>
            </w:r>
            <w:r>
              <w:rPr>
                <w:b w:val="0"/>
                <w:sz w:val="17"/>
              </w:rPr>
              <w:t>Arlington</w:t>
            </w:r>
          </w:p>
        </w:tc>
        <w:tc>
          <w:tcPr>
            <w:tcW w:type="dxa" w:w="1680"/>
            <w:vAlign w:val="top"/>
          </w:tcPr>
          <w:p>
            <w:r>
              <w:rPr>
                <w:sz w:val="17"/>
              </w:rPr>
            </w:r>
            <w:r>
              <w:rPr>
                <w:b w:val="0"/>
                <w:sz w:val="17"/>
              </w:rPr>
              <w:t>cba</w:t>
            </w:r>
          </w:p>
        </w:tc>
        <w:tc>
          <w:tcPr>
            <w:tcW w:type="dxa" w:w="1680"/>
            <w:vAlign w:val="top"/>
          </w:tcPr>
          <w:p>
            <w:r>
              <w:rPr>
                <w:sz w:val="17"/>
              </w:rPr>
            </w:r>
            <w:r>
              <w:rPr>
                <w:b w:val="0"/>
                <w:sz w:val="17"/>
              </w:rPr>
              <w:t>25</w:t>
            </w:r>
          </w:p>
        </w:tc>
        <w:tc>
          <w:tcPr>
            <w:tcW w:type="dxa" w:w="1680"/>
            <w:vAlign w:val="top"/>
          </w:tcPr>
          <w:p>
            <w:r>
              <w:rPr>
                <w:sz w:val="17"/>
              </w:rPr>
            </w:r>
            <w:r>
              <w:rPr>
                <w:b w:val="0"/>
                <w:sz w:val="17"/>
              </w:rPr>
              <w:t>1</w:t>
            </w:r>
          </w:p>
        </w:tc>
        <w:tc>
          <w:tcPr>
            <w:tcW w:type="dxa" w:w="1680"/>
            <w:vAlign w:val="top"/>
          </w:tcPr>
          <w:p>
            <w:r>
              <w:rPr>
                <w:sz w:val="17"/>
              </w:rPr>
            </w:r>
            <w:r>
              <w:rPr>
                <w:b w:val="0"/>
                <w:sz w:val="17"/>
              </w:rPr>
              <w:t>"outside detail rate"</w:t>
            </w:r>
          </w:p>
        </w:tc>
      </w:tr>
      <w:tr>
        <w:tc>
          <w:tcPr>
            <w:tcW w:type="dxa" w:w="1680"/>
            <w:vAlign w:val="top"/>
          </w:tcPr>
          <w:p>
            <w:r>
              <w:rPr>
                <w:sz w:val="17"/>
              </w:rPr>
            </w:r>
            <w:r>
              <w:rPr>
                <w:b w:val="0"/>
                <w:sz w:val="17"/>
              </w:rPr>
              <w:t>ma_somerville_police_spea_2012</w:t>
            </w:r>
          </w:p>
        </w:tc>
        <w:tc>
          <w:tcPr>
            <w:tcW w:type="dxa" w:w="1680"/>
            <w:vAlign w:val="top"/>
          </w:tcPr>
          <w:p>
            <w:r>
              <w:rPr>
                <w:sz w:val="17"/>
              </w:rPr>
            </w:r>
            <w:r>
              <w:rPr>
                <w:b w:val="0"/>
                <w:sz w:val="17"/>
              </w:rPr>
              <w:t>Somerville</w:t>
            </w:r>
          </w:p>
        </w:tc>
        <w:tc>
          <w:tcPr>
            <w:tcW w:type="dxa" w:w="1680"/>
            <w:vAlign w:val="top"/>
          </w:tcPr>
          <w:p>
            <w:r>
              <w:rPr>
                <w:sz w:val="17"/>
              </w:rPr>
            </w:r>
            <w:r>
              <w:rPr>
                <w:b w:val="0"/>
                <w:sz w:val="17"/>
              </w:rPr>
              <w:t>arbitration_award</w:t>
            </w:r>
          </w:p>
        </w:tc>
        <w:tc>
          <w:tcPr>
            <w:tcW w:type="dxa" w:w="1680"/>
            <w:vAlign w:val="top"/>
          </w:tcPr>
          <w:p>
            <w:r>
              <w:rPr>
                <w:sz w:val="17"/>
              </w:rPr>
            </w:r>
            <w:r>
              <w:rPr>
                <w:b w:val="0"/>
                <w:sz w:val="17"/>
              </w:rPr>
              <w:t>85</w:t>
            </w:r>
          </w:p>
        </w:tc>
        <w:tc>
          <w:tcPr>
            <w:tcW w:type="dxa" w:w="1680"/>
            <w:vAlign w:val="top"/>
          </w:tcPr>
          <w:p>
            <w:r>
              <w:rPr>
                <w:sz w:val="17"/>
              </w:rPr>
            </w:r>
            <w:r>
              <w:rPr>
                <w:b w:val="0"/>
                <w:sz w:val="17"/>
              </w:rPr>
              <w:t>4</w:t>
            </w:r>
          </w:p>
        </w:tc>
        <w:tc>
          <w:tcPr>
            <w:tcW w:type="dxa" w:w="1680"/>
            <w:vAlign w:val="top"/>
          </w:tcPr>
          <w:p>
            <w:r>
              <w:rPr>
                <w:sz w:val="17"/>
              </w:rPr>
            </w:r>
            <w:r>
              <w:rPr>
                <w:b w:val="0"/>
                <w:sz w:val="17"/>
              </w:rPr>
              <w:t>"comparable communities", "surrounding communities"</w:t>
            </w:r>
          </w:p>
        </w:tc>
      </w:tr>
      <w:tr>
        <w:tc>
          <w:tcPr>
            <w:tcW w:type="dxa" w:w="1680"/>
            <w:vAlign w:val="top"/>
          </w:tcPr>
          <w:p>
            <w:r>
              <w:rPr>
                <w:sz w:val="17"/>
              </w:rPr>
            </w:r>
            <w:r>
              <w:rPr>
                <w:b w:val="0"/>
                <w:sz w:val="17"/>
              </w:rPr>
              <w:t>ma_somerville_police_spsoa_2012</w:t>
            </w:r>
          </w:p>
        </w:tc>
        <w:tc>
          <w:tcPr>
            <w:tcW w:type="dxa" w:w="1680"/>
            <w:vAlign w:val="top"/>
          </w:tcPr>
          <w:p>
            <w:r>
              <w:rPr>
                <w:sz w:val="17"/>
              </w:rPr>
            </w:r>
            <w:r>
              <w:rPr>
                <w:b w:val="0"/>
                <w:sz w:val="17"/>
              </w:rPr>
              <w:t>Somerville</w:t>
            </w:r>
          </w:p>
        </w:tc>
        <w:tc>
          <w:tcPr>
            <w:tcW w:type="dxa" w:w="1680"/>
            <w:vAlign w:val="top"/>
          </w:tcPr>
          <w:p>
            <w:r>
              <w:rPr>
                <w:sz w:val="17"/>
              </w:rPr>
            </w:r>
            <w:r>
              <w:rPr>
                <w:b w:val="0"/>
                <w:sz w:val="17"/>
              </w:rPr>
              <w:t>arbitration_award</w:t>
            </w:r>
          </w:p>
        </w:tc>
        <w:tc>
          <w:tcPr>
            <w:tcW w:type="dxa" w:w="1680"/>
            <w:vAlign w:val="top"/>
          </w:tcPr>
          <w:p>
            <w:r>
              <w:rPr>
                <w:sz w:val="17"/>
              </w:rPr>
            </w:r>
            <w:r>
              <w:rPr>
                <w:b w:val="0"/>
                <w:sz w:val="17"/>
              </w:rPr>
              <w:t>88</w:t>
            </w:r>
          </w:p>
        </w:tc>
        <w:tc>
          <w:tcPr>
            <w:tcW w:type="dxa" w:w="1680"/>
            <w:vAlign w:val="top"/>
          </w:tcPr>
          <w:p>
            <w:r>
              <w:rPr>
                <w:sz w:val="17"/>
              </w:rPr>
            </w:r>
            <w:r>
              <w:rPr>
                <w:b w:val="0"/>
                <w:sz w:val="17"/>
              </w:rPr>
              <w:t>5</w:t>
            </w:r>
          </w:p>
        </w:tc>
        <w:tc>
          <w:tcPr>
            <w:tcW w:type="dxa" w:w="1680"/>
            <w:vAlign w:val="top"/>
          </w:tcPr>
          <w:p>
            <w:r>
              <w:rPr>
                <w:sz w:val="17"/>
              </w:rPr>
            </w:r>
            <w:r>
              <w:rPr>
                <w:b w:val="0"/>
                <w:sz w:val="17"/>
              </w:rPr>
              <w:t>"comparable communities", "wages and benefits"</w:t>
            </w:r>
          </w:p>
        </w:tc>
      </w:tr>
    </w:tbl>
    <w:p/>
    <w:p>
      <w:pPr>
        <w:pStyle w:val="Heading1"/>
      </w:pPr>
      <w:r>
        <w:t>7. Interpretation</w:t>
      </w:r>
    </w:p>
    <w:tbl>
      <w:tblPr>
        <w:tblW w:type="auto" w:w="0"/>
        <w:jc w:val="center"/>
        <w:tblLook w:firstColumn="1" w:firstRow="1" w:lastColumn="0" w:lastRow="0" w:noHBand="0" w:noVBand="1" w:val="04A0"/>
      </w:tblPr>
      <w:tblGrid>
        <w:gridCol w:w="10080"/>
      </w:tblGrid>
      <w:tr>
        <w:tc>
          <w:tcPr>
            <w:tcW w:type="dxa" w:w="10080"/>
            <w:shd w:fill="F3F6FA"/>
          </w:tcPr>
          <w:p>
            <w:r>
              <w:rPr>
                <w:b/>
                <w:sz w:val="20"/>
              </w:rPr>
              <w:t>Headline interpretation</w:t>
            </w:r>
          </w:p>
          <w:p>
            <w:r>
              <w:rPr>
                <w:sz w:val="18"/>
              </w:rPr>
              <w:t>The report supports a cautious descriptive conclusion: explicit peer-community wage comparability is highly visible in safety-side arbitration and award-style documents, but much less visible in ordinary CBAs. H1 remains plausible, but the current public-source evidence cannot yet distinguish a police/fire occupation effect from a source-type or document-production effect.</w:t>
            </w:r>
          </w:p>
        </w:tc>
      </w:tr>
    </w:tbl>
    <w:p/>
    <w:p>
      <w:r>
        <w:t>The current evidence strengthens the project in two ways. First, it shows that the GABRIEL pipeline can recover substantively meaningful comparability language when that language is present in the document. Second, it clarifies the main identification problem: non-safety reasoning documents comparable to the Somerville and Wayland safety-side award material remain scarce in the public-source corpus.</w:t>
      </w:r>
    </w:p>
    <w:p>
      <w:r>
        <w:t>The report also cautions against treating CBA silence as evidence that comparability did not matter. CBAs and MOAs often record final wage terms without spelling out the arguments that led to those terms. Arbitration awards, JLMC awards, factfinding reports, and some public meeting packets are more likely to record the reasoning layer.</w:t>
      </w:r>
    </w:p>
    <w:p>
      <w:pPr>
        <w:pStyle w:val="Heading1"/>
      </w:pPr>
      <w:r>
        <w:t>8. Recommended next steps</w:t>
      </w:r>
    </w:p>
    <w:p>
      <w:pPr>
        <w:pStyle w:val="ListNumber"/>
      </w:pPr>
      <w:r>
        <w:t>Prioritize mechanism-source search over broad ingestion. Newton, Somerville, and Boston remain the highest-value targets for public school committee packets, bargaining exhibits, settlement memos, or factfinding-like documents.</w:t>
      </w:r>
    </w:p>
    <w:p>
      <w:pPr>
        <w:pStyle w:val="ListNumber"/>
      </w:pPr>
      <w:r>
        <w:t>Use v10 to test one additional institutional attribute after quote review. The leading candidate is arbitration_or_impasse_backstop, because v9 suggests source type and dispute-resolution institutions are central.</w:t>
      </w:r>
    </w:p>
    <w:p>
      <w:pPr>
        <w:pStyle w:val="ListNumber"/>
      </w:pPr>
      <w:r>
        <w:t>Continue official-portal ingestion selectively. More public CBAs help robustness, but new CBA rows are less valuable than non-safety reasoning documents unless they add new cities or clean exact-cycle matches.</w:t>
      </w:r>
    </w:p>
    <w:p>
      <w:pPr>
        <w:pStyle w:val="ListNumber"/>
      </w:pPr>
      <w:r>
        <w:t>Keep PRRs deferred unless the PI changes preference. The public-only path is still productive, but it should be presented as source-limited.</w:t>
      </w:r>
    </w:p>
    <w:p>
      <w:pPr>
        <w:pStyle w:val="ListNumber"/>
      </w:pPr>
      <w:r>
        <w:t>Prepare a PI-facing short memo from this report. The message should be high-level: the measurement pipeline works, the first descriptive pattern is real, and the next bottleneck is non-safety reasoning evidence.</w:t>
      </w:r>
    </w:p>
    <w:p>
      <w:r>
        <w:br w:type="page"/>
      </w:r>
    </w:p>
    <w:p>
      <w:pPr>
        <w:pStyle w:val="Heading1"/>
      </w:pPr>
      <w:r>
        <w:t>Appendix A. Summary tables</w:t>
      </w:r>
    </w:p>
    <w:p>
      <w:pPr>
        <w:pStyle w:val="Heading2"/>
      </w:pPr>
      <w:r>
        <w:t>A1. Source-type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Source type</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arbitration_award</w:t>
            </w:r>
          </w:p>
        </w:tc>
        <w:tc>
          <w:tcPr>
            <w:tcW w:type="dxa" w:w="1440"/>
            <w:vAlign w:val="top"/>
          </w:tcPr>
          <w:p>
            <w:r>
              <w:rPr>
                <w:sz w:val="17"/>
              </w:rPr>
            </w:r>
            <w:r>
              <w:rPr>
                <w:b w:val="0"/>
                <w:sz w:val="17"/>
              </w:rPr>
              <w:t>3</w:t>
            </w:r>
          </w:p>
        </w:tc>
        <w:tc>
          <w:tcPr>
            <w:tcW w:type="dxa" w:w="1440"/>
            <w:vAlign w:val="top"/>
          </w:tcPr>
          <w:p>
            <w:r>
              <w:rPr>
                <w:sz w:val="17"/>
              </w:rPr>
            </w:r>
            <w:r>
              <w:rPr>
                <w:b w:val="0"/>
                <w:sz w:val="17"/>
              </w:rPr>
              <w:t>57.67</w:t>
            </w:r>
          </w:p>
        </w:tc>
        <w:tc>
          <w:tcPr>
            <w:tcW w:type="dxa" w:w="1440"/>
            <w:vAlign w:val="top"/>
          </w:tcPr>
          <w:p>
            <w:r>
              <w:rPr>
                <w:sz w:val="17"/>
              </w:rPr>
            </w:r>
            <w:r>
              <w:rPr>
                <w:b w:val="0"/>
                <w:sz w:val="17"/>
              </w:rPr>
              <w:t>85</w:t>
            </w:r>
          </w:p>
        </w:tc>
        <w:tc>
          <w:tcPr>
            <w:tcW w:type="dxa" w:w="1440"/>
            <w:vAlign w:val="top"/>
          </w:tcPr>
          <w:p>
            <w:r>
              <w:rPr>
                <w:sz w:val="17"/>
              </w:rPr>
            </w:r>
            <w:r>
              <w:rPr>
                <w:b w:val="0"/>
                <w:sz w:val="17"/>
              </w:rPr>
              <w:t>88</w:t>
            </w:r>
          </w:p>
        </w:tc>
        <w:tc>
          <w:tcPr>
            <w:tcW w:type="dxa" w:w="1440"/>
            <w:vAlign w:val="top"/>
          </w:tcPr>
          <w:p>
            <w:r>
              <w:rPr>
                <w:sz w:val="17"/>
              </w:rPr>
            </w:r>
            <w:r>
              <w:rPr>
                <w:b w:val="0"/>
                <w:sz w:val="17"/>
              </w:rPr>
              <w:t>2</w:t>
            </w:r>
          </w:p>
        </w:tc>
        <w:tc>
          <w:tcPr>
            <w:tcW w:type="dxa" w:w="1440"/>
            <w:vAlign w:val="top"/>
          </w:tcPr>
          <w:p>
            <w:r>
              <w:rPr>
                <w:sz w:val="17"/>
              </w:rPr>
            </w:r>
            <w:r>
              <w:rPr>
                <w:b w:val="0"/>
                <w:sz w:val="17"/>
              </w:rPr>
              <w:t>2</w:t>
            </w:r>
          </w:p>
        </w:tc>
      </w:tr>
      <w:tr>
        <w:tc>
          <w:tcPr>
            <w:tcW w:type="dxa" w:w="1440"/>
            <w:vAlign w:val="top"/>
          </w:tcPr>
          <w:p>
            <w:r>
              <w:rPr>
                <w:sz w:val="17"/>
              </w:rPr>
            </w:r>
            <w:r>
              <w:rPr>
                <w:b w:val="0"/>
                <w:sz w:val="17"/>
              </w:rPr>
              <w:t>cba</w:t>
            </w:r>
          </w:p>
        </w:tc>
        <w:tc>
          <w:tcPr>
            <w:tcW w:type="dxa" w:w="1440"/>
            <w:vAlign w:val="top"/>
          </w:tcPr>
          <w:p>
            <w:r>
              <w:rPr>
                <w:sz w:val="17"/>
              </w:rPr>
            </w:r>
            <w:r>
              <w:rPr>
                <w:b w:val="0"/>
                <w:sz w:val="17"/>
              </w:rPr>
              <w:t>29</w:t>
            </w:r>
          </w:p>
        </w:tc>
        <w:tc>
          <w:tcPr>
            <w:tcW w:type="dxa" w:w="1440"/>
            <w:vAlign w:val="top"/>
          </w:tcPr>
          <w:p>
            <w:r>
              <w:rPr>
                <w:sz w:val="17"/>
              </w:rPr>
            </w:r>
            <w:r>
              <w:rPr>
                <w:b w:val="0"/>
                <w:sz w:val="17"/>
              </w:rPr>
              <w:t>5.52</w:t>
            </w:r>
          </w:p>
        </w:tc>
        <w:tc>
          <w:tcPr>
            <w:tcW w:type="dxa" w:w="1440"/>
            <w:vAlign w:val="top"/>
          </w:tcPr>
          <w:p>
            <w:r>
              <w:rPr>
                <w:sz w:val="17"/>
              </w:rPr>
            </w:r>
            <w:r>
              <w:rPr>
                <w:b w:val="0"/>
                <w:sz w:val="17"/>
              </w:rPr>
              <w:t>5</w:t>
            </w:r>
          </w:p>
        </w:tc>
        <w:tc>
          <w:tcPr>
            <w:tcW w:type="dxa" w:w="1440"/>
            <w:vAlign w:val="top"/>
          </w:tcPr>
          <w:p>
            <w:r>
              <w:rPr>
                <w:sz w:val="17"/>
              </w:rPr>
            </w:r>
            <w:r>
              <w:rPr>
                <w:b w:val="0"/>
                <w:sz w:val="17"/>
              </w:rPr>
              <w:t>25</w:t>
            </w:r>
          </w:p>
        </w:tc>
        <w:tc>
          <w:tcPr>
            <w:tcW w:type="dxa" w:w="1440"/>
            <w:vAlign w:val="top"/>
          </w:tcPr>
          <w:p>
            <w:r>
              <w:rPr>
                <w:sz w:val="17"/>
              </w:rPr>
            </w:r>
            <w:r>
              <w:rPr>
                <w:b w:val="0"/>
                <w:sz w:val="17"/>
              </w:rPr>
              <w:t>22</w:t>
            </w:r>
          </w:p>
        </w:tc>
        <w:tc>
          <w:tcPr>
            <w:tcW w:type="dxa" w:w="1440"/>
            <w:vAlign w:val="top"/>
          </w:tcPr>
          <w:p>
            <w:r>
              <w:rPr>
                <w:sz w:val="17"/>
              </w:rPr>
            </w:r>
            <w:r>
              <w:rPr>
                <w:b w:val="0"/>
                <w:sz w:val="17"/>
              </w:rPr>
              <w:t>1</w:t>
            </w:r>
          </w:p>
        </w:tc>
      </w:tr>
    </w:tbl>
    <w:p/>
    <w:p>
      <w:pPr>
        <w:pStyle w:val="Heading2"/>
      </w:pPr>
      <w:r>
        <w:t>A2. Safety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Safety status</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non-safety</w:t>
            </w:r>
          </w:p>
        </w:tc>
        <w:tc>
          <w:tcPr>
            <w:tcW w:type="dxa" w:w="1440"/>
            <w:vAlign w:val="top"/>
          </w:tcPr>
          <w:p>
            <w:r>
              <w:rPr>
                <w:sz w:val="17"/>
              </w:rPr>
            </w:r>
            <w:r>
              <w:rPr>
                <w:b w:val="0"/>
                <w:sz w:val="17"/>
              </w:rPr>
              <w:t>17</w:t>
            </w:r>
          </w:p>
        </w:tc>
        <w:tc>
          <w:tcPr>
            <w:tcW w:type="dxa" w:w="1440"/>
            <w:vAlign w:val="top"/>
          </w:tcPr>
          <w:p>
            <w:r>
              <w:rPr>
                <w:sz w:val="17"/>
              </w:rPr>
            </w:r>
            <w:r>
              <w:rPr>
                <w:b w:val="0"/>
                <w:sz w:val="17"/>
              </w:rPr>
              <w:t>4.76</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12</w:t>
            </w:r>
          </w:p>
        </w:tc>
        <w:tc>
          <w:tcPr>
            <w:tcW w:type="dxa" w:w="1440"/>
            <w:vAlign w:val="top"/>
          </w:tcPr>
          <w:p>
            <w:r>
              <w:rPr>
                <w:sz w:val="17"/>
              </w:rPr>
            </w:r>
            <w:r>
              <w:rPr>
                <w:b w:val="0"/>
                <w:sz w:val="17"/>
              </w:rPr>
              <w:t>0</w:t>
            </w:r>
          </w:p>
        </w:tc>
      </w:tr>
      <w:tr>
        <w:tc>
          <w:tcPr>
            <w:tcW w:type="dxa" w:w="1440"/>
            <w:vAlign w:val="top"/>
          </w:tcPr>
          <w:p>
            <w:r>
              <w:rPr>
                <w:sz w:val="17"/>
              </w:rPr>
            </w:r>
            <w:r>
              <w:rPr>
                <w:b w:val="0"/>
                <w:sz w:val="17"/>
              </w:rPr>
              <w:t>safety</w:t>
            </w:r>
          </w:p>
        </w:tc>
        <w:tc>
          <w:tcPr>
            <w:tcW w:type="dxa" w:w="1440"/>
            <w:vAlign w:val="top"/>
          </w:tcPr>
          <w:p>
            <w:r>
              <w:rPr>
                <w:sz w:val="17"/>
              </w:rPr>
            </w:r>
            <w:r>
              <w:rPr>
                <w:b w:val="0"/>
                <w:sz w:val="17"/>
              </w:rPr>
              <w:t>15</w:t>
            </w:r>
          </w:p>
        </w:tc>
        <w:tc>
          <w:tcPr>
            <w:tcW w:type="dxa" w:w="1440"/>
            <w:vAlign w:val="top"/>
          </w:tcPr>
          <w:p>
            <w:r>
              <w:rPr>
                <w:sz w:val="17"/>
              </w:rPr>
            </w:r>
            <w:r>
              <w:rPr>
                <w:b w:val="0"/>
                <w:sz w:val="17"/>
              </w:rPr>
              <w:t>16.80</w:t>
            </w:r>
          </w:p>
        </w:tc>
        <w:tc>
          <w:tcPr>
            <w:tcW w:type="dxa" w:w="1440"/>
            <w:vAlign w:val="top"/>
          </w:tcPr>
          <w:p>
            <w:r>
              <w:rPr>
                <w:sz w:val="17"/>
              </w:rPr>
            </w:r>
            <w:r>
              <w:rPr>
                <w:b w:val="0"/>
                <w:sz w:val="17"/>
              </w:rPr>
              <w:t>5</w:t>
            </w:r>
          </w:p>
        </w:tc>
        <w:tc>
          <w:tcPr>
            <w:tcW w:type="dxa" w:w="1440"/>
            <w:vAlign w:val="top"/>
          </w:tcPr>
          <w:p>
            <w:r>
              <w:rPr>
                <w:sz w:val="17"/>
              </w:rPr>
            </w:r>
            <w:r>
              <w:rPr>
                <w:b w:val="0"/>
                <w:sz w:val="17"/>
              </w:rPr>
              <w:t>88</w:t>
            </w:r>
          </w:p>
        </w:tc>
        <w:tc>
          <w:tcPr>
            <w:tcW w:type="dxa" w:w="1440"/>
            <w:vAlign w:val="top"/>
          </w:tcPr>
          <w:p>
            <w:r>
              <w:rPr>
                <w:sz w:val="17"/>
              </w:rPr>
            </w:r>
            <w:r>
              <w:rPr>
                <w:b w:val="0"/>
                <w:sz w:val="17"/>
              </w:rPr>
              <w:t>12</w:t>
            </w:r>
          </w:p>
        </w:tc>
        <w:tc>
          <w:tcPr>
            <w:tcW w:type="dxa" w:w="1440"/>
            <w:vAlign w:val="top"/>
          </w:tcPr>
          <w:p>
            <w:r>
              <w:rPr>
                <w:sz w:val="17"/>
              </w:rPr>
            </w:r>
            <w:r>
              <w:rPr>
                <w:b w:val="0"/>
                <w:sz w:val="17"/>
              </w:rPr>
              <w:t>3</w:t>
            </w:r>
          </w:p>
        </w:tc>
      </w:tr>
    </w:tbl>
    <w:p/>
    <w:p>
      <w:pPr>
        <w:pStyle w:val="Heading2"/>
      </w:pPr>
      <w:r>
        <w:t>A3. Occupation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Occupation</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clerical_admin</w:t>
            </w:r>
          </w:p>
        </w:tc>
        <w:tc>
          <w:tcPr>
            <w:tcW w:type="dxa" w:w="1440"/>
            <w:vAlign w:val="top"/>
          </w:tcPr>
          <w:p>
            <w:r>
              <w:rPr>
                <w:sz w:val="17"/>
              </w:rPr>
            </w:r>
            <w:r>
              <w:rPr>
                <w:b w:val="0"/>
                <w:sz w:val="17"/>
              </w:rPr>
              <w:t>3</w:t>
            </w:r>
          </w:p>
        </w:tc>
        <w:tc>
          <w:tcPr>
            <w:tcW w:type="dxa" w:w="1440"/>
            <w:vAlign w:val="top"/>
          </w:tcPr>
          <w:p>
            <w:r>
              <w:rPr>
                <w:sz w:val="17"/>
              </w:rPr>
            </w:r>
            <w:r>
              <w:rPr>
                <w:b w:val="0"/>
                <w:sz w:val="17"/>
              </w:rPr>
              <w:t>4.33</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2</w:t>
            </w:r>
          </w:p>
        </w:tc>
        <w:tc>
          <w:tcPr>
            <w:tcW w:type="dxa" w:w="1440"/>
            <w:vAlign w:val="top"/>
          </w:tcPr>
          <w:p>
            <w:r>
              <w:rPr>
                <w:sz w:val="17"/>
              </w:rPr>
            </w:r>
            <w:r>
              <w:rPr>
                <w:b w:val="0"/>
                <w:sz w:val="17"/>
              </w:rPr>
              <w:t>0</w:t>
            </w:r>
          </w:p>
        </w:tc>
      </w:tr>
      <w:tr>
        <w:tc>
          <w:tcPr>
            <w:tcW w:type="dxa" w:w="1440"/>
            <w:vAlign w:val="top"/>
          </w:tcPr>
          <w:p>
            <w:r>
              <w:rPr>
                <w:sz w:val="17"/>
              </w:rPr>
            </w:r>
            <w:r>
              <w:rPr>
                <w:b w:val="0"/>
                <w:sz w:val="17"/>
              </w:rPr>
              <w:t>fire</w:t>
            </w:r>
          </w:p>
        </w:tc>
        <w:tc>
          <w:tcPr>
            <w:tcW w:type="dxa" w:w="1440"/>
            <w:vAlign w:val="top"/>
          </w:tcPr>
          <w:p>
            <w:r>
              <w:rPr>
                <w:sz w:val="17"/>
              </w:rPr>
            </w:r>
            <w:r>
              <w:rPr>
                <w:b w:val="0"/>
                <w:sz w:val="17"/>
              </w:rPr>
              <w:t>6</w:t>
            </w:r>
          </w:p>
        </w:tc>
        <w:tc>
          <w:tcPr>
            <w:tcW w:type="dxa" w:w="1440"/>
            <w:vAlign w:val="top"/>
          </w:tcPr>
          <w:p>
            <w:r>
              <w:rPr>
                <w:sz w:val="17"/>
              </w:rPr>
            </w:r>
            <w:r>
              <w:rPr>
                <w:b w:val="0"/>
                <w:sz w:val="17"/>
              </w:rPr>
              <w:t>8</w:t>
            </w:r>
          </w:p>
        </w:tc>
        <w:tc>
          <w:tcPr>
            <w:tcW w:type="dxa" w:w="1440"/>
            <w:vAlign w:val="top"/>
          </w:tcPr>
          <w:p>
            <w:r>
              <w:rPr>
                <w:sz w:val="17"/>
              </w:rPr>
            </w:r>
            <w:r>
              <w:rPr>
                <w:b w:val="0"/>
                <w:sz w:val="17"/>
              </w:rPr>
              <w:t>6.50</w:t>
            </w:r>
          </w:p>
        </w:tc>
        <w:tc>
          <w:tcPr>
            <w:tcW w:type="dxa" w:w="1440"/>
            <w:vAlign w:val="top"/>
          </w:tcPr>
          <w:p>
            <w:r>
              <w:rPr>
                <w:sz w:val="17"/>
              </w:rPr>
            </w:r>
            <w:r>
              <w:rPr>
                <w:b w:val="0"/>
                <w:sz w:val="17"/>
              </w:rPr>
              <w:t>25</w:t>
            </w:r>
          </w:p>
        </w:tc>
        <w:tc>
          <w:tcPr>
            <w:tcW w:type="dxa" w:w="1440"/>
            <w:vAlign w:val="top"/>
          </w:tcPr>
          <w:p>
            <w:r>
              <w:rPr>
                <w:sz w:val="17"/>
              </w:rPr>
            </w:r>
            <w:r>
              <w:rPr>
                <w:b w:val="0"/>
                <w:sz w:val="17"/>
              </w:rPr>
              <w:t>4</w:t>
            </w:r>
          </w:p>
        </w:tc>
        <w:tc>
          <w:tcPr>
            <w:tcW w:type="dxa" w:w="1440"/>
            <w:vAlign w:val="top"/>
          </w:tcPr>
          <w:p>
            <w:r>
              <w:rPr>
                <w:sz w:val="17"/>
              </w:rPr>
            </w:r>
            <w:r>
              <w:rPr>
                <w:b w:val="0"/>
                <w:sz w:val="17"/>
              </w:rPr>
              <w:t>1</w:t>
            </w:r>
          </w:p>
        </w:tc>
      </w:tr>
      <w:tr>
        <w:tc>
          <w:tcPr>
            <w:tcW w:type="dxa" w:w="1440"/>
            <w:vAlign w:val="top"/>
          </w:tcPr>
          <w:p>
            <w:r>
              <w:rPr>
                <w:sz w:val="17"/>
              </w:rPr>
            </w:r>
            <w:r>
              <w:rPr>
                <w:b w:val="0"/>
                <w:sz w:val="17"/>
              </w:rPr>
              <w:t>library</w:t>
            </w:r>
          </w:p>
        </w:tc>
        <w:tc>
          <w:tcPr>
            <w:tcW w:type="dxa" w:w="1440"/>
            <w:vAlign w:val="top"/>
          </w:tcPr>
          <w:p>
            <w:r>
              <w:rPr>
                <w:sz w:val="17"/>
              </w:rPr>
            </w:r>
            <w:r>
              <w:rPr>
                <w:b w:val="0"/>
                <w:sz w:val="17"/>
              </w:rPr>
              <w:t>3</w:t>
            </w:r>
          </w:p>
        </w:tc>
        <w:tc>
          <w:tcPr>
            <w:tcW w:type="dxa" w:w="1440"/>
            <w:vAlign w:val="top"/>
          </w:tcPr>
          <w:p>
            <w:r>
              <w:rPr>
                <w:sz w:val="17"/>
              </w:rPr>
            </w:r>
            <w:r>
              <w:rPr>
                <w:b w:val="0"/>
                <w:sz w:val="17"/>
              </w:rPr>
              <w:t>4.33</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2</w:t>
            </w:r>
          </w:p>
        </w:tc>
        <w:tc>
          <w:tcPr>
            <w:tcW w:type="dxa" w:w="1440"/>
            <w:vAlign w:val="top"/>
          </w:tcPr>
          <w:p>
            <w:r>
              <w:rPr>
                <w:sz w:val="17"/>
              </w:rPr>
            </w:r>
            <w:r>
              <w:rPr>
                <w:b w:val="0"/>
                <w:sz w:val="17"/>
              </w:rPr>
              <w:t>0</w:t>
            </w:r>
          </w:p>
        </w:tc>
      </w:tr>
      <w:tr>
        <w:tc>
          <w:tcPr>
            <w:tcW w:type="dxa" w:w="1440"/>
            <w:vAlign w:val="top"/>
          </w:tcPr>
          <w:p>
            <w:r>
              <w:rPr>
                <w:sz w:val="17"/>
              </w:rPr>
            </w:r>
            <w:r>
              <w:rPr>
                <w:b w:val="0"/>
                <w:sz w:val="17"/>
              </w:rPr>
              <w:t>other</w:t>
            </w:r>
          </w:p>
        </w:tc>
        <w:tc>
          <w:tcPr>
            <w:tcW w:type="dxa" w:w="1440"/>
            <w:vAlign w:val="top"/>
          </w:tcPr>
          <w:p>
            <w:r>
              <w:rPr>
                <w:sz w:val="17"/>
              </w:rPr>
            </w:r>
            <w:r>
              <w:rPr>
                <w:b w:val="0"/>
                <w:sz w:val="17"/>
              </w:rPr>
              <w:t>3</w:t>
            </w:r>
          </w:p>
        </w:tc>
        <w:tc>
          <w:tcPr>
            <w:tcW w:type="dxa" w:w="1440"/>
            <w:vAlign w:val="top"/>
          </w:tcPr>
          <w:p>
            <w:r>
              <w:rPr>
                <w:sz w:val="17"/>
              </w:rPr>
            </w:r>
            <w:r>
              <w:rPr>
                <w:b w:val="0"/>
                <w:sz w:val="17"/>
              </w:rPr>
              <w:t>8.33</w:t>
            </w:r>
          </w:p>
        </w:tc>
        <w:tc>
          <w:tcPr>
            <w:tcW w:type="dxa" w:w="1440"/>
            <w:vAlign w:val="top"/>
          </w:tcPr>
          <w:p>
            <w:r>
              <w:rPr>
                <w:sz w:val="17"/>
              </w:rPr>
            </w:r>
            <w:r>
              <w:rPr>
                <w:b w:val="0"/>
                <w:sz w:val="17"/>
              </w:rPr>
              <w:t>10</w:t>
            </w:r>
          </w:p>
        </w:tc>
        <w:tc>
          <w:tcPr>
            <w:tcW w:type="dxa" w:w="1440"/>
            <w:vAlign w:val="top"/>
          </w:tcPr>
          <w:p>
            <w:r>
              <w:rPr>
                <w:sz w:val="17"/>
              </w:rPr>
            </w:r>
            <w:r>
              <w:rPr>
                <w:b w:val="0"/>
                <w:sz w:val="17"/>
              </w:rPr>
              <w:t>10</w:t>
            </w:r>
          </w:p>
        </w:tc>
        <w:tc>
          <w:tcPr>
            <w:tcW w:type="dxa" w:w="1440"/>
            <w:vAlign w:val="top"/>
          </w:tcPr>
          <w:p>
            <w:r>
              <w:rPr>
                <w:sz w:val="17"/>
              </w:rPr>
            </w:r>
            <w:r>
              <w:rPr>
                <w:b w:val="0"/>
                <w:sz w:val="17"/>
              </w:rPr>
              <w:t>3</w:t>
            </w:r>
          </w:p>
        </w:tc>
        <w:tc>
          <w:tcPr>
            <w:tcW w:type="dxa" w:w="1440"/>
            <w:vAlign w:val="top"/>
          </w:tcPr>
          <w:p>
            <w:r>
              <w:rPr>
                <w:sz w:val="17"/>
              </w:rPr>
            </w:r>
            <w:r>
              <w:rPr>
                <w:b w:val="0"/>
                <w:sz w:val="17"/>
              </w:rPr>
              <w:t>0</w:t>
            </w:r>
          </w:p>
        </w:tc>
      </w:tr>
      <w:tr>
        <w:tc>
          <w:tcPr>
            <w:tcW w:type="dxa" w:w="1440"/>
            <w:vAlign w:val="top"/>
          </w:tcPr>
          <w:p>
            <w:r>
              <w:rPr>
                <w:sz w:val="17"/>
              </w:rPr>
            </w:r>
            <w:r>
              <w:rPr>
                <w:b w:val="0"/>
                <w:sz w:val="17"/>
              </w:rPr>
              <w:t>police</w:t>
            </w:r>
          </w:p>
        </w:tc>
        <w:tc>
          <w:tcPr>
            <w:tcW w:type="dxa" w:w="1440"/>
            <w:vAlign w:val="top"/>
          </w:tcPr>
          <w:p>
            <w:r>
              <w:rPr>
                <w:sz w:val="17"/>
              </w:rPr>
            </w:r>
            <w:r>
              <w:rPr>
                <w:b w:val="0"/>
                <w:sz w:val="17"/>
              </w:rPr>
              <w:t>9</w:t>
            </w:r>
          </w:p>
        </w:tc>
        <w:tc>
          <w:tcPr>
            <w:tcW w:type="dxa" w:w="1440"/>
            <w:vAlign w:val="top"/>
          </w:tcPr>
          <w:p>
            <w:r>
              <w:rPr>
                <w:sz w:val="17"/>
              </w:rPr>
            </w:r>
            <w:r>
              <w:rPr>
                <w:b w:val="0"/>
                <w:sz w:val="17"/>
              </w:rPr>
              <w:t>22.67</w:t>
            </w:r>
          </w:p>
        </w:tc>
        <w:tc>
          <w:tcPr>
            <w:tcW w:type="dxa" w:w="1440"/>
            <w:vAlign w:val="top"/>
          </w:tcPr>
          <w:p>
            <w:r>
              <w:rPr>
                <w:sz w:val="17"/>
              </w:rPr>
            </w:r>
            <w:r>
              <w:rPr>
                <w:b w:val="0"/>
                <w:sz w:val="17"/>
              </w:rPr>
              <w:t>5</w:t>
            </w:r>
          </w:p>
        </w:tc>
        <w:tc>
          <w:tcPr>
            <w:tcW w:type="dxa" w:w="1440"/>
            <w:vAlign w:val="top"/>
          </w:tcPr>
          <w:p>
            <w:r>
              <w:rPr>
                <w:sz w:val="17"/>
              </w:rPr>
            </w:r>
            <w:r>
              <w:rPr>
                <w:b w:val="0"/>
                <w:sz w:val="17"/>
              </w:rPr>
              <w:t>88</w:t>
            </w:r>
          </w:p>
        </w:tc>
        <w:tc>
          <w:tcPr>
            <w:tcW w:type="dxa" w:w="1440"/>
            <w:vAlign w:val="top"/>
          </w:tcPr>
          <w:p>
            <w:r>
              <w:rPr>
                <w:sz w:val="17"/>
              </w:rPr>
            </w:r>
            <w:r>
              <w:rPr>
                <w:b w:val="0"/>
                <w:sz w:val="17"/>
              </w:rPr>
              <w:t>8</w:t>
            </w:r>
          </w:p>
        </w:tc>
        <w:tc>
          <w:tcPr>
            <w:tcW w:type="dxa" w:w="1440"/>
            <w:vAlign w:val="top"/>
          </w:tcPr>
          <w:p>
            <w:r>
              <w:rPr>
                <w:sz w:val="17"/>
              </w:rPr>
            </w:r>
            <w:r>
              <w:rPr>
                <w:b w:val="0"/>
                <w:sz w:val="17"/>
              </w:rPr>
              <w:t>2</w:t>
            </w:r>
          </w:p>
        </w:tc>
      </w:tr>
      <w:tr>
        <w:tc>
          <w:tcPr>
            <w:tcW w:type="dxa" w:w="1440"/>
            <w:vAlign w:val="top"/>
          </w:tcPr>
          <w:p>
            <w:r>
              <w:rPr>
                <w:sz w:val="17"/>
              </w:rPr>
            </w:r>
            <w:r>
              <w:rPr>
                <w:b w:val="0"/>
                <w:sz w:val="17"/>
              </w:rPr>
              <w:t>public_works</w:t>
            </w:r>
          </w:p>
        </w:tc>
        <w:tc>
          <w:tcPr>
            <w:tcW w:type="dxa" w:w="1440"/>
            <w:vAlign w:val="top"/>
          </w:tcPr>
          <w:p>
            <w:r>
              <w:rPr>
                <w:sz w:val="17"/>
              </w:rPr>
            </w:r>
            <w:r>
              <w:rPr>
                <w:b w:val="0"/>
                <w:sz w:val="17"/>
              </w:rPr>
              <w:t>7</w:t>
            </w:r>
          </w:p>
        </w:tc>
        <w:tc>
          <w:tcPr>
            <w:tcW w:type="dxa" w:w="1440"/>
            <w:vAlign w:val="top"/>
          </w:tcPr>
          <w:p>
            <w:r>
              <w:rPr>
                <w:sz w:val="17"/>
              </w:rPr>
            </w:r>
            <w:r>
              <w:rPr>
                <w:b w:val="0"/>
                <w:sz w:val="17"/>
              </w:rPr>
              <w:t>3.57</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4</w:t>
            </w:r>
          </w:p>
        </w:tc>
        <w:tc>
          <w:tcPr>
            <w:tcW w:type="dxa" w:w="1440"/>
            <w:vAlign w:val="top"/>
          </w:tcPr>
          <w:p>
            <w:r>
              <w:rPr>
                <w:sz w:val="17"/>
              </w:rPr>
            </w:r>
            <w:r>
              <w:rPr>
                <w:b w:val="0"/>
                <w:sz w:val="17"/>
              </w:rPr>
              <w:t>0</w:t>
            </w:r>
          </w:p>
        </w:tc>
      </w:tr>
      <w:tr>
        <w:tc>
          <w:tcPr>
            <w:tcW w:type="dxa" w:w="1440"/>
            <w:vAlign w:val="top"/>
          </w:tcPr>
          <w:p>
            <w:r>
              <w:rPr>
                <w:sz w:val="17"/>
              </w:rPr>
            </w:r>
            <w:r>
              <w:rPr>
                <w:b w:val="0"/>
                <w:sz w:val="17"/>
              </w:rPr>
              <w:t>teacher</w:t>
            </w:r>
          </w:p>
        </w:tc>
        <w:tc>
          <w:tcPr>
            <w:tcW w:type="dxa" w:w="1440"/>
            <w:vAlign w:val="top"/>
          </w:tcPr>
          <w:p>
            <w:r>
              <w:rPr>
                <w:sz w:val="17"/>
              </w:rPr>
            </w:r>
            <w:r>
              <w:rPr>
                <w:b w:val="0"/>
                <w:sz w:val="17"/>
              </w:rPr>
              <w:t>1</w:t>
            </w:r>
          </w:p>
        </w:tc>
        <w:tc>
          <w:tcPr>
            <w:tcW w:type="dxa" w:w="1440"/>
            <w:vAlign w:val="top"/>
          </w:tcPr>
          <w:p>
            <w:r>
              <w:rPr>
                <w:sz w:val="17"/>
              </w:rPr>
            </w:r>
            <w:r>
              <w:rPr>
                <w:b w:val="0"/>
                <w:sz w:val="17"/>
              </w:rPr>
              <w:t>5</w:t>
            </w:r>
          </w:p>
        </w:tc>
        <w:tc>
          <w:tcPr>
            <w:tcW w:type="dxa" w:w="1440"/>
            <w:vAlign w:val="top"/>
          </w:tcPr>
          <w:p>
            <w:r>
              <w:rPr>
                <w:sz w:val="17"/>
              </w:rPr>
            </w:r>
            <w:r>
              <w:rPr>
                <w:b w:val="0"/>
                <w:sz w:val="17"/>
              </w:rPr>
              <w:t>5</w:t>
            </w:r>
          </w:p>
        </w:tc>
        <w:tc>
          <w:tcPr>
            <w:tcW w:type="dxa" w:w="1440"/>
            <w:vAlign w:val="top"/>
          </w:tcPr>
          <w:p>
            <w:r>
              <w:rPr>
                <w:sz w:val="17"/>
              </w:rPr>
            </w:r>
            <w:r>
              <w:rPr>
                <w:b w:val="0"/>
                <w:sz w:val="17"/>
              </w:rPr>
              <w:t>5</w:t>
            </w:r>
          </w:p>
        </w:tc>
        <w:tc>
          <w:tcPr>
            <w:tcW w:type="dxa" w:w="1440"/>
            <w:vAlign w:val="top"/>
          </w:tcPr>
          <w:p>
            <w:r>
              <w:rPr>
                <w:sz w:val="17"/>
              </w:rPr>
            </w:r>
            <w:r>
              <w:rPr>
                <w:b w:val="0"/>
                <w:sz w:val="17"/>
              </w:rPr>
              <w:t>1</w:t>
            </w:r>
          </w:p>
        </w:tc>
        <w:tc>
          <w:tcPr>
            <w:tcW w:type="dxa" w:w="1440"/>
            <w:vAlign w:val="top"/>
          </w:tcPr>
          <w:p>
            <w:r>
              <w:rPr>
                <w:sz w:val="17"/>
              </w:rPr>
            </w:r>
            <w:r>
              <w:rPr>
                <w:b w:val="0"/>
                <w:sz w:val="17"/>
              </w:rPr>
              <w:t>0</w:t>
            </w:r>
          </w:p>
        </w:tc>
      </w:tr>
    </w:tbl>
    <w:p/>
    <w:p>
      <w:pPr>
        <w:pStyle w:val="Heading2"/>
      </w:pPr>
      <w:r>
        <w:t>A4. City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sz w:val="17"/>
              </w:rPr>
            </w:r>
            <w:r>
              <w:rPr>
                <w:b/>
                <w:sz w:val="17"/>
              </w:rPr>
              <w:t>City</w:t>
            </w:r>
          </w:p>
        </w:tc>
        <w:tc>
          <w:tcPr>
            <w:tcW w:type="dxa" w:w="1440"/>
            <w:shd w:fill="D9EAF7"/>
            <w:vAlign w:val="center"/>
          </w:tcPr>
          <w:p>
            <w:r>
              <w:rPr>
                <w:sz w:val="17"/>
              </w:rPr>
            </w:r>
            <w:r>
              <w:rPr>
                <w:b/>
                <w:sz w:val="17"/>
              </w:rPr>
              <w:t>Rows</w:t>
            </w:r>
          </w:p>
        </w:tc>
        <w:tc>
          <w:tcPr>
            <w:tcW w:type="dxa" w:w="1440"/>
            <w:shd w:fill="D9EAF7"/>
            <w:vAlign w:val="center"/>
          </w:tcPr>
          <w:p>
            <w:r>
              <w:rPr>
                <w:sz w:val="17"/>
              </w:rPr>
            </w:r>
            <w:r>
              <w:rPr>
                <w:b/>
                <w:sz w:val="17"/>
              </w:rPr>
              <w:t>Mean</w:t>
            </w:r>
          </w:p>
        </w:tc>
        <w:tc>
          <w:tcPr>
            <w:tcW w:type="dxa" w:w="1440"/>
            <w:shd w:fill="D9EAF7"/>
            <w:vAlign w:val="center"/>
          </w:tcPr>
          <w:p>
            <w:r>
              <w:rPr>
                <w:sz w:val="17"/>
              </w:rPr>
            </w:r>
            <w:r>
              <w:rPr>
                <w:b/>
                <w:sz w:val="17"/>
              </w:rPr>
              <w:t>Median</w:t>
            </w:r>
          </w:p>
        </w:tc>
        <w:tc>
          <w:tcPr>
            <w:tcW w:type="dxa" w:w="1440"/>
            <w:shd w:fill="D9EAF7"/>
            <w:vAlign w:val="center"/>
          </w:tcPr>
          <w:p>
            <w:r>
              <w:rPr>
                <w:sz w:val="17"/>
              </w:rPr>
            </w:r>
            <w:r>
              <w:rPr>
                <w:b/>
                <w:sz w:val="17"/>
              </w:rPr>
              <w:t>Max</w:t>
            </w:r>
          </w:p>
        </w:tc>
        <w:tc>
          <w:tcPr>
            <w:tcW w:type="dxa" w:w="1440"/>
            <w:shd w:fill="D9EAF7"/>
            <w:vAlign w:val="center"/>
          </w:tcPr>
          <w:p>
            <w:r>
              <w:rPr>
                <w:sz w:val="17"/>
              </w:rPr>
            </w:r>
            <w:r>
              <w:rPr>
                <w:b/>
                <w:sz w:val="17"/>
              </w:rPr>
              <w:t>Rows &gt; 0</w:t>
            </w:r>
          </w:p>
        </w:tc>
        <w:tc>
          <w:tcPr>
            <w:tcW w:type="dxa" w:w="1440"/>
            <w:shd w:fill="D9EAF7"/>
            <w:vAlign w:val="center"/>
          </w:tcPr>
          <w:p>
            <w:r>
              <w:rPr>
                <w:sz w:val="17"/>
              </w:rPr>
            </w:r>
            <w:r>
              <w:rPr>
                <w:b/>
                <w:sz w:val="17"/>
              </w:rPr>
              <w:t>Rows with verified relevant excerpts</w:t>
            </w:r>
          </w:p>
        </w:tc>
      </w:tr>
      <w:tr>
        <w:tc>
          <w:tcPr>
            <w:tcW w:type="dxa" w:w="1440"/>
            <w:vAlign w:val="top"/>
          </w:tcPr>
          <w:p>
            <w:r>
              <w:rPr>
                <w:sz w:val="17"/>
              </w:rPr>
            </w:r>
            <w:r>
              <w:rPr>
                <w:b w:val="0"/>
                <w:sz w:val="17"/>
              </w:rPr>
              <w:t>Arlington</w:t>
            </w:r>
          </w:p>
        </w:tc>
        <w:tc>
          <w:tcPr>
            <w:tcW w:type="dxa" w:w="1440"/>
            <w:vAlign w:val="top"/>
          </w:tcPr>
          <w:p>
            <w:r>
              <w:rPr>
                <w:sz w:val="17"/>
              </w:rPr>
            </w:r>
            <w:r>
              <w:rPr>
                <w:b w:val="0"/>
                <w:sz w:val="17"/>
              </w:rPr>
              <w:t>4</w:t>
            </w:r>
          </w:p>
        </w:tc>
        <w:tc>
          <w:tcPr>
            <w:tcW w:type="dxa" w:w="1440"/>
            <w:vAlign w:val="top"/>
          </w:tcPr>
          <w:p>
            <w:r>
              <w:rPr>
                <w:sz w:val="17"/>
              </w:rPr>
            </w:r>
            <w:r>
              <w:rPr>
                <w:b w:val="0"/>
                <w:sz w:val="17"/>
              </w:rPr>
              <w:t>7.50</w:t>
            </w:r>
          </w:p>
        </w:tc>
        <w:tc>
          <w:tcPr>
            <w:tcW w:type="dxa" w:w="1440"/>
            <w:vAlign w:val="top"/>
          </w:tcPr>
          <w:p>
            <w:r>
              <w:rPr>
                <w:sz w:val="17"/>
              </w:rPr>
            </w:r>
            <w:r>
              <w:rPr>
                <w:b w:val="0"/>
                <w:sz w:val="17"/>
              </w:rPr>
              <w:t>2.50</w:t>
            </w:r>
          </w:p>
        </w:tc>
        <w:tc>
          <w:tcPr>
            <w:tcW w:type="dxa" w:w="1440"/>
            <w:vAlign w:val="top"/>
          </w:tcPr>
          <w:p>
            <w:r>
              <w:rPr>
                <w:sz w:val="17"/>
              </w:rPr>
            </w:r>
            <w:r>
              <w:rPr>
                <w:b w:val="0"/>
                <w:sz w:val="17"/>
              </w:rPr>
              <w:t>25</w:t>
            </w:r>
          </w:p>
        </w:tc>
        <w:tc>
          <w:tcPr>
            <w:tcW w:type="dxa" w:w="1440"/>
            <w:vAlign w:val="top"/>
          </w:tcPr>
          <w:p>
            <w:r>
              <w:rPr>
                <w:sz w:val="17"/>
              </w:rPr>
            </w:r>
            <w:r>
              <w:rPr>
                <w:b w:val="0"/>
                <w:sz w:val="17"/>
              </w:rPr>
              <w:t>2</w:t>
            </w:r>
          </w:p>
        </w:tc>
        <w:tc>
          <w:tcPr>
            <w:tcW w:type="dxa" w:w="1440"/>
            <w:vAlign w:val="top"/>
          </w:tcPr>
          <w:p>
            <w:r>
              <w:rPr>
                <w:sz w:val="17"/>
              </w:rPr>
            </w:r>
            <w:r>
              <w:rPr>
                <w:b w:val="0"/>
                <w:sz w:val="17"/>
              </w:rPr>
              <w:t>1</w:t>
            </w:r>
          </w:p>
        </w:tc>
      </w:tr>
      <w:tr>
        <w:tc>
          <w:tcPr>
            <w:tcW w:type="dxa" w:w="1440"/>
            <w:vAlign w:val="top"/>
          </w:tcPr>
          <w:p>
            <w:r>
              <w:rPr>
                <w:sz w:val="17"/>
              </w:rPr>
            </w:r>
            <w:r>
              <w:rPr>
                <w:b w:val="0"/>
                <w:sz w:val="17"/>
              </w:rPr>
              <w:t>Boston</w:t>
            </w:r>
          </w:p>
        </w:tc>
        <w:tc>
          <w:tcPr>
            <w:tcW w:type="dxa" w:w="1440"/>
            <w:vAlign w:val="top"/>
          </w:tcPr>
          <w:p>
            <w:r>
              <w:rPr>
                <w:sz w:val="17"/>
              </w:rPr>
            </w:r>
            <w:r>
              <w:rPr>
                <w:b w:val="0"/>
                <w:sz w:val="17"/>
              </w:rPr>
              <w:t>2</w:t>
            </w:r>
          </w:p>
        </w:tc>
        <w:tc>
          <w:tcPr>
            <w:tcW w:type="dxa" w:w="1440"/>
            <w:vAlign w:val="top"/>
          </w:tcPr>
          <w:p>
            <w:r>
              <w:rPr>
                <w:sz w:val="17"/>
              </w:rPr>
            </w:r>
            <w:r>
              <w:rPr>
                <w:b w:val="0"/>
                <w:sz w:val="17"/>
              </w:rPr>
              <w:t>6.50</w:t>
            </w:r>
          </w:p>
        </w:tc>
        <w:tc>
          <w:tcPr>
            <w:tcW w:type="dxa" w:w="1440"/>
            <w:vAlign w:val="top"/>
          </w:tcPr>
          <w:p>
            <w:r>
              <w:rPr>
                <w:sz w:val="17"/>
              </w:rPr>
            </w:r>
            <w:r>
              <w:rPr>
                <w:b w:val="0"/>
                <w:sz w:val="17"/>
              </w:rPr>
              <w:t>6.50</w:t>
            </w:r>
          </w:p>
        </w:tc>
        <w:tc>
          <w:tcPr>
            <w:tcW w:type="dxa" w:w="1440"/>
            <w:vAlign w:val="top"/>
          </w:tcPr>
          <w:p>
            <w:r>
              <w:rPr>
                <w:sz w:val="17"/>
              </w:rPr>
            </w:r>
            <w:r>
              <w:rPr>
                <w:b w:val="0"/>
                <w:sz w:val="17"/>
              </w:rPr>
              <w:t>8</w:t>
            </w:r>
          </w:p>
        </w:tc>
        <w:tc>
          <w:tcPr>
            <w:tcW w:type="dxa" w:w="1440"/>
            <w:vAlign w:val="top"/>
          </w:tcPr>
          <w:p>
            <w:r>
              <w:rPr>
                <w:sz w:val="17"/>
              </w:rPr>
            </w:r>
            <w:r>
              <w:rPr>
                <w:b w:val="0"/>
                <w:sz w:val="17"/>
              </w:rPr>
              <w:t>2</w:t>
            </w:r>
          </w:p>
        </w:tc>
        <w:tc>
          <w:tcPr>
            <w:tcW w:type="dxa" w:w="1440"/>
            <w:vAlign w:val="top"/>
          </w:tcPr>
          <w:p>
            <w:r>
              <w:rPr>
                <w:sz w:val="17"/>
              </w:rPr>
            </w:r>
            <w:r>
              <w:rPr>
                <w:b w:val="0"/>
                <w:sz w:val="17"/>
              </w:rPr>
              <w:t>0</w:t>
            </w:r>
          </w:p>
        </w:tc>
      </w:tr>
      <w:tr>
        <w:tc>
          <w:tcPr>
            <w:tcW w:type="dxa" w:w="1440"/>
            <w:vAlign w:val="top"/>
          </w:tcPr>
          <w:p>
            <w:r>
              <w:rPr>
                <w:sz w:val="17"/>
              </w:rPr>
            </w:r>
            <w:r>
              <w:rPr>
                <w:b w:val="0"/>
                <w:sz w:val="17"/>
              </w:rPr>
              <w:t>Franklin</w:t>
            </w:r>
          </w:p>
        </w:tc>
        <w:tc>
          <w:tcPr>
            <w:tcW w:type="dxa" w:w="1440"/>
            <w:vAlign w:val="top"/>
          </w:tcPr>
          <w:p>
            <w:r>
              <w:rPr>
                <w:sz w:val="17"/>
              </w:rPr>
            </w:r>
            <w:r>
              <w:rPr>
                <w:b w:val="0"/>
                <w:sz w:val="17"/>
              </w:rPr>
              <w:t>6</w:t>
            </w:r>
          </w:p>
        </w:tc>
        <w:tc>
          <w:tcPr>
            <w:tcW w:type="dxa" w:w="1440"/>
            <w:vAlign w:val="top"/>
          </w:tcPr>
          <w:p>
            <w:r>
              <w:rPr>
                <w:sz w:val="17"/>
              </w:rPr>
            </w:r>
            <w:r>
              <w:rPr>
                <w:b w:val="0"/>
                <w:sz w:val="17"/>
              </w:rPr>
              <w:t>5</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4</w:t>
            </w:r>
          </w:p>
        </w:tc>
        <w:tc>
          <w:tcPr>
            <w:tcW w:type="dxa" w:w="1440"/>
            <w:vAlign w:val="top"/>
          </w:tcPr>
          <w:p>
            <w:r>
              <w:rPr>
                <w:sz w:val="17"/>
              </w:rPr>
            </w:r>
            <w:r>
              <w:rPr>
                <w:b w:val="0"/>
                <w:sz w:val="17"/>
              </w:rPr>
              <w:t>0</w:t>
            </w:r>
          </w:p>
        </w:tc>
      </w:tr>
      <w:tr>
        <w:tc>
          <w:tcPr>
            <w:tcW w:type="dxa" w:w="1440"/>
            <w:vAlign w:val="top"/>
          </w:tcPr>
          <w:p>
            <w:r>
              <w:rPr>
                <w:sz w:val="17"/>
              </w:rPr>
            </w:r>
            <w:r>
              <w:rPr>
                <w:b w:val="0"/>
                <w:sz w:val="17"/>
              </w:rPr>
              <w:t>Georgetown</w:t>
            </w:r>
          </w:p>
        </w:tc>
        <w:tc>
          <w:tcPr>
            <w:tcW w:type="dxa" w:w="1440"/>
            <w:vAlign w:val="top"/>
          </w:tcPr>
          <w:p>
            <w:r>
              <w:rPr>
                <w:sz w:val="17"/>
              </w:rPr>
            </w:r>
            <w:r>
              <w:rPr>
                <w:b w:val="0"/>
                <w:sz w:val="17"/>
              </w:rPr>
              <w:t>2</w:t>
            </w:r>
          </w:p>
        </w:tc>
        <w:tc>
          <w:tcPr>
            <w:tcW w:type="dxa" w:w="1440"/>
            <w:vAlign w:val="top"/>
          </w:tcPr>
          <w:p>
            <w:r>
              <w:rPr>
                <w:sz w:val="17"/>
              </w:rPr>
            </w:r>
            <w:r>
              <w:rPr>
                <w:b w:val="0"/>
                <w:sz w:val="17"/>
              </w:rPr>
              <w:t>2.50</w:t>
            </w:r>
          </w:p>
        </w:tc>
        <w:tc>
          <w:tcPr>
            <w:tcW w:type="dxa" w:w="1440"/>
            <w:vAlign w:val="top"/>
          </w:tcPr>
          <w:p>
            <w:r>
              <w:rPr>
                <w:sz w:val="17"/>
              </w:rPr>
            </w:r>
            <w:r>
              <w:rPr>
                <w:b w:val="0"/>
                <w:sz w:val="17"/>
              </w:rPr>
              <w:t>2.50</w:t>
            </w:r>
          </w:p>
        </w:tc>
        <w:tc>
          <w:tcPr>
            <w:tcW w:type="dxa" w:w="1440"/>
            <w:vAlign w:val="top"/>
          </w:tcPr>
          <w:p>
            <w:r>
              <w:rPr>
                <w:sz w:val="17"/>
              </w:rPr>
            </w:r>
            <w:r>
              <w:rPr>
                <w:b w:val="0"/>
                <w:sz w:val="17"/>
              </w:rPr>
              <w:t>5</w:t>
            </w:r>
          </w:p>
        </w:tc>
        <w:tc>
          <w:tcPr>
            <w:tcW w:type="dxa" w:w="1440"/>
            <w:vAlign w:val="top"/>
          </w:tcPr>
          <w:p>
            <w:r>
              <w:rPr>
                <w:sz w:val="17"/>
              </w:rPr>
            </w:r>
            <w:r>
              <w:rPr>
                <w:b w:val="0"/>
                <w:sz w:val="17"/>
              </w:rPr>
              <w:t>1</w:t>
            </w:r>
          </w:p>
        </w:tc>
        <w:tc>
          <w:tcPr>
            <w:tcW w:type="dxa" w:w="1440"/>
            <w:vAlign w:val="top"/>
          </w:tcPr>
          <w:p>
            <w:r>
              <w:rPr>
                <w:sz w:val="17"/>
              </w:rPr>
            </w:r>
            <w:r>
              <w:rPr>
                <w:b w:val="0"/>
                <w:sz w:val="17"/>
              </w:rPr>
              <w:t>0</w:t>
            </w:r>
          </w:p>
        </w:tc>
      </w:tr>
      <w:tr>
        <w:tc>
          <w:tcPr>
            <w:tcW w:type="dxa" w:w="1440"/>
            <w:vAlign w:val="top"/>
          </w:tcPr>
          <w:p>
            <w:r>
              <w:rPr>
                <w:sz w:val="17"/>
              </w:rPr>
            </w:r>
            <w:r>
              <w:rPr>
                <w:b w:val="0"/>
                <w:sz w:val="17"/>
              </w:rPr>
              <w:t>Newton</w:t>
            </w:r>
          </w:p>
        </w:tc>
        <w:tc>
          <w:tcPr>
            <w:tcW w:type="dxa" w:w="1440"/>
            <w:vAlign w:val="top"/>
          </w:tcPr>
          <w:p>
            <w:r>
              <w:rPr>
                <w:sz w:val="17"/>
              </w:rPr>
            </w:r>
            <w:r>
              <w:rPr>
                <w:b w:val="0"/>
                <w:sz w:val="17"/>
              </w:rPr>
              <w:t>1</w:t>
            </w:r>
          </w:p>
        </w:tc>
        <w:tc>
          <w:tcPr>
            <w:tcW w:type="dxa" w:w="1440"/>
            <w:vAlign w:val="top"/>
          </w:tcPr>
          <w:p>
            <w:r>
              <w:rPr>
                <w:sz w:val="17"/>
              </w:rPr>
            </w:r>
            <w:r>
              <w:rPr>
                <w:b w:val="0"/>
                <w:sz w:val="17"/>
              </w:rPr>
              <w:t>6</w:t>
            </w:r>
          </w:p>
        </w:tc>
        <w:tc>
          <w:tcPr>
            <w:tcW w:type="dxa" w:w="1440"/>
            <w:vAlign w:val="top"/>
          </w:tcPr>
          <w:p>
            <w:r>
              <w:rPr>
                <w:sz w:val="17"/>
              </w:rPr>
            </w:r>
            <w:r>
              <w:rPr>
                <w:b w:val="0"/>
                <w:sz w:val="17"/>
              </w:rPr>
              <w:t>6</w:t>
            </w:r>
          </w:p>
        </w:tc>
        <w:tc>
          <w:tcPr>
            <w:tcW w:type="dxa" w:w="1440"/>
            <w:vAlign w:val="top"/>
          </w:tcPr>
          <w:p>
            <w:r>
              <w:rPr>
                <w:sz w:val="17"/>
              </w:rPr>
            </w:r>
            <w:r>
              <w:rPr>
                <w:b w:val="0"/>
                <w:sz w:val="17"/>
              </w:rPr>
              <w:t>6</w:t>
            </w:r>
          </w:p>
        </w:tc>
        <w:tc>
          <w:tcPr>
            <w:tcW w:type="dxa" w:w="1440"/>
            <w:vAlign w:val="top"/>
          </w:tcPr>
          <w:p>
            <w:r>
              <w:rPr>
                <w:sz w:val="17"/>
              </w:rPr>
            </w:r>
            <w:r>
              <w:rPr>
                <w:b w:val="0"/>
                <w:sz w:val="17"/>
              </w:rPr>
              <w:t>1</w:t>
            </w:r>
          </w:p>
        </w:tc>
        <w:tc>
          <w:tcPr>
            <w:tcW w:type="dxa" w:w="1440"/>
            <w:vAlign w:val="top"/>
          </w:tcPr>
          <w:p>
            <w:r>
              <w:rPr>
                <w:sz w:val="17"/>
              </w:rPr>
            </w:r>
            <w:r>
              <w:rPr>
                <w:b w:val="0"/>
                <w:sz w:val="17"/>
              </w:rPr>
              <w:t>0</w:t>
            </w:r>
          </w:p>
        </w:tc>
      </w:tr>
      <w:tr>
        <w:tc>
          <w:tcPr>
            <w:tcW w:type="dxa" w:w="1440"/>
            <w:vAlign w:val="top"/>
          </w:tcPr>
          <w:p>
            <w:r>
              <w:rPr>
                <w:sz w:val="17"/>
              </w:rPr>
            </w:r>
            <w:r>
              <w:rPr>
                <w:b w:val="0"/>
                <w:sz w:val="17"/>
              </w:rPr>
              <w:t>Seekonk</w:t>
            </w:r>
          </w:p>
        </w:tc>
        <w:tc>
          <w:tcPr>
            <w:tcW w:type="dxa" w:w="1440"/>
            <w:vAlign w:val="top"/>
          </w:tcPr>
          <w:p>
            <w:r>
              <w:rPr>
                <w:sz w:val="17"/>
              </w:rPr>
            </w:r>
            <w:r>
              <w:rPr>
                <w:b w:val="0"/>
                <w:sz w:val="17"/>
              </w:rPr>
              <w:t>6</w:t>
            </w:r>
          </w:p>
        </w:tc>
        <w:tc>
          <w:tcPr>
            <w:tcW w:type="dxa" w:w="1440"/>
            <w:vAlign w:val="top"/>
          </w:tcPr>
          <w:p>
            <w:r>
              <w:rPr>
                <w:sz w:val="17"/>
              </w:rPr>
            </w:r>
            <w:r>
              <w:rPr>
                <w:b w:val="0"/>
                <w:sz w:val="17"/>
              </w:rPr>
              <w:t>3.83</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4</w:t>
            </w:r>
          </w:p>
        </w:tc>
        <w:tc>
          <w:tcPr>
            <w:tcW w:type="dxa" w:w="1440"/>
            <w:vAlign w:val="top"/>
          </w:tcPr>
          <w:p>
            <w:r>
              <w:rPr>
                <w:sz w:val="17"/>
              </w:rPr>
            </w:r>
            <w:r>
              <w:rPr>
                <w:b w:val="0"/>
                <w:sz w:val="17"/>
              </w:rPr>
              <w:t>0</w:t>
            </w:r>
          </w:p>
        </w:tc>
      </w:tr>
      <w:tr>
        <w:tc>
          <w:tcPr>
            <w:tcW w:type="dxa" w:w="1440"/>
            <w:vAlign w:val="top"/>
          </w:tcPr>
          <w:p>
            <w:r>
              <w:rPr>
                <w:sz w:val="17"/>
              </w:rPr>
            </w:r>
            <w:r>
              <w:rPr>
                <w:b w:val="0"/>
                <w:sz w:val="17"/>
              </w:rPr>
              <w:t>Somerville</w:t>
            </w:r>
          </w:p>
        </w:tc>
        <w:tc>
          <w:tcPr>
            <w:tcW w:type="dxa" w:w="1440"/>
            <w:vAlign w:val="top"/>
          </w:tcPr>
          <w:p>
            <w:r>
              <w:rPr>
                <w:sz w:val="17"/>
              </w:rPr>
            </w:r>
            <w:r>
              <w:rPr>
                <w:b w:val="0"/>
                <w:sz w:val="17"/>
              </w:rPr>
              <w:t>2</w:t>
            </w:r>
          </w:p>
        </w:tc>
        <w:tc>
          <w:tcPr>
            <w:tcW w:type="dxa" w:w="1440"/>
            <w:vAlign w:val="top"/>
          </w:tcPr>
          <w:p>
            <w:r>
              <w:rPr>
                <w:sz w:val="17"/>
              </w:rPr>
            </w:r>
            <w:r>
              <w:rPr>
                <w:b w:val="0"/>
                <w:sz w:val="17"/>
              </w:rPr>
              <w:t>86.50</w:t>
            </w:r>
          </w:p>
        </w:tc>
        <w:tc>
          <w:tcPr>
            <w:tcW w:type="dxa" w:w="1440"/>
            <w:vAlign w:val="top"/>
          </w:tcPr>
          <w:p>
            <w:r>
              <w:rPr>
                <w:sz w:val="17"/>
              </w:rPr>
            </w:r>
            <w:r>
              <w:rPr>
                <w:b w:val="0"/>
                <w:sz w:val="17"/>
              </w:rPr>
              <w:t>86.50</w:t>
            </w:r>
          </w:p>
        </w:tc>
        <w:tc>
          <w:tcPr>
            <w:tcW w:type="dxa" w:w="1440"/>
            <w:vAlign w:val="top"/>
          </w:tcPr>
          <w:p>
            <w:r>
              <w:rPr>
                <w:sz w:val="17"/>
              </w:rPr>
            </w:r>
            <w:r>
              <w:rPr>
                <w:b w:val="0"/>
                <w:sz w:val="17"/>
              </w:rPr>
              <w:t>88</w:t>
            </w:r>
          </w:p>
        </w:tc>
        <w:tc>
          <w:tcPr>
            <w:tcW w:type="dxa" w:w="1440"/>
            <w:vAlign w:val="top"/>
          </w:tcPr>
          <w:p>
            <w:r>
              <w:rPr>
                <w:sz w:val="17"/>
              </w:rPr>
            </w:r>
            <w:r>
              <w:rPr>
                <w:b w:val="0"/>
                <w:sz w:val="17"/>
              </w:rPr>
              <w:t>2</w:t>
            </w:r>
          </w:p>
        </w:tc>
        <w:tc>
          <w:tcPr>
            <w:tcW w:type="dxa" w:w="1440"/>
            <w:vAlign w:val="top"/>
          </w:tcPr>
          <w:p>
            <w:r>
              <w:rPr>
                <w:sz w:val="17"/>
              </w:rPr>
            </w:r>
            <w:r>
              <w:rPr>
                <w:b w:val="0"/>
                <w:sz w:val="17"/>
              </w:rPr>
              <w:t>2</w:t>
            </w:r>
          </w:p>
        </w:tc>
      </w:tr>
      <w:tr>
        <w:tc>
          <w:tcPr>
            <w:tcW w:type="dxa" w:w="1440"/>
            <w:vAlign w:val="top"/>
          </w:tcPr>
          <w:p>
            <w:r>
              <w:rPr>
                <w:sz w:val="17"/>
              </w:rPr>
            </w:r>
            <w:r>
              <w:rPr>
                <w:b w:val="0"/>
                <w:sz w:val="17"/>
              </w:rPr>
              <w:t>Wayland</w:t>
            </w:r>
          </w:p>
        </w:tc>
        <w:tc>
          <w:tcPr>
            <w:tcW w:type="dxa" w:w="1440"/>
            <w:vAlign w:val="top"/>
          </w:tcPr>
          <w:p>
            <w:r>
              <w:rPr>
                <w:sz w:val="17"/>
              </w:rPr>
            </w:r>
            <w:r>
              <w:rPr>
                <w:b w:val="0"/>
                <w:sz w:val="17"/>
              </w:rPr>
              <w:t>6</w:t>
            </w:r>
          </w:p>
        </w:tc>
        <w:tc>
          <w:tcPr>
            <w:tcW w:type="dxa" w:w="1440"/>
            <w:vAlign w:val="top"/>
          </w:tcPr>
          <w:p>
            <w:r>
              <w:rPr>
                <w:sz w:val="17"/>
              </w:rPr>
            </w:r>
            <w:r>
              <w:rPr>
                <w:b w:val="0"/>
                <w:sz w:val="17"/>
              </w:rPr>
              <w:t>5.83</w:t>
            </w:r>
          </w:p>
        </w:tc>
        <w:tc>
          <w:tcPr>
            <w:tcW w:type="dxa" w:w="1440"/>
            <w:vAlign w:val="top"/>
          </w:tcPr>
          <w:p>
            <w:r>
              <w:rPr>
                <w:sz w:val="17"/>
              </w:rPr>
            </w:r>
            <w:r>
              <w:rPr>
                <w:b w:val="0"/>
                <w:sz w:val="17"/>
              </w:rPr>
              <w:t>5</w:t>
            </w:r>
          </w:p>
        </w:tc>
        <w:tc>
          <w:tcPr>
            <w:tcW w:type="dxa" w:w="1440"/>
            <w:vAlign w:val="top"/>
          </w:tcPr>
          <w:p>
            <w:r>
              <w:rPr>
                <w:sz w:val="17"/>
              </w:rPr>
            </w:r>
            <w:r>
              <w:rPr>
                <w:b w:val="0"/>
                <w:sz w:val="17"/>
              </w:rPr>
              <w:t>10</w:t>
            </w:r>
          </w:p>
        </w:tc>
        <w:tc>
          <w:tcPr>
            <w:tcW w:type="dxa" w:w="1440"/>
            <w:vAlign w:val="top"/>
          </w:tcPr>
          <w:p>
            <w:r>
              <w:rPr>
                <w:sz w:val="17"/>
              </w:rPr>
            </w:r>
            <w:r>
              <w:rPr>
                <w:b w:val="0"/>
                <w:sz w:val="17"/>
              </w:rPr>
              <w:t>5</w:t>
            </w:r>
          </w:p>
        </w:tc>
        <w:tc>
          <w:tcPr>
            <w:tcW w:type="dxa" w:w="1440"/>
            <w:vAlign w:val="top"/>
          </w:tcPr>
          <w:p>
            <w:r>
              <w:rPr>
                <w:sz w:val="17"/>
              </w:rPr>
            </w:r>
            <w:r>
              <w:rPr>
                <w:b w:val="0"/>
                <w:sz w:val="17"/>
              </w:rPr>
              <w:t>0</w:t>
            </w:r>
          </w:p>
        </w:tc>
      </w:tr>
      <w:tr>
        <w:tc>
          <w:tcPr>
            <w:tcW w:type="dxa" w:w="1440"/>
            <w:vAlign w:val="top"/>
          </w:tcPr>
          <w:p>
            <w:r>
              <w:rPr>
                <w:sz w:val="17"/>
              </w:rPr>
            </w:r>
            <w:r>
              <w:rPr>
                <w:b w:val="0"/>
                <w:sz w:val="17"/>
              </w:rPr>
              <w:t>Worcester</w:t>
            </w:r>
          </w:p>
        </w:tc>
        <w:tc>
          <w:tcPr>
            <w:tcW w:type="dxa" w:w="1440"/>
            <w:vAlign w:val="top"/>
          </w:tcPr>
          <w:p>
            <w:r>
              <w:rPr>
                <w:sz w:val="17"/>
              </w:rPr>
            </w:r>
            <w:r>
              <w:rPr>
                <w:b w:val="0"/>
                <w:sz w:val="17"/>
              </w:rPr>
              <w:t>3</w:t>
            </w:r>
          </w:p>
        </w:tc>
        <w:tc>
          <w:tcPr>
            <w:tcW w:type="dxa" w:w="1440"/>
            <w:vAlign w:val="top"/>
          </w:tcPr>
          <w:p>
            <w:r>
              <w:rPr>
                <w:sz w:val="17"/>
              </w:rPr>
            </w:r>
            <w:r>
              <w:rPr>
                <w:b w:val="0"/>
                <w:sz w:val="17"/>
              </w:rPr>
              <w:t>6</w:t>
            </w:r>
          </w:p>
        </w:tc>
        <w:tc>
          <w:tcPr>
            <w:tcW w:type="dxa" w:w="1440"/>
            <w:vAlign w:val="top"/>
          </w:tcPr>
          <w:p>
            <w:r>
              <w:rPr>
                <w:sz w:val="17"/>
              </w:rPr>
            </w:r>
            <w:r>
              <w:rPr>
                <w:b w:val="0"/>
                <w:sz w:val="17"/>
              </w:rPr>
              <w:t>5</w:t>
            </w:r>
          </w:p>
        </w:tc>
        <w:tc>
          <w:tcPr>
            <w:tcW w:type="dxa" w:w="1440"/>
            <w:vAlign w:val="top"/>
          </w:tcPr>
          <w:p>
            <w:r>
              <w:rPr>
                <w:sz w:val="17"/>
              </w:rPr>
            </w:r>
            <w:r>
              <w:rPr>
                <w:b w:val="0"/>
                <w:sz w:val="17"/>
              </w:rPr>
              <w:t>8</w:t>
            </w:r>
          </w:p>
        </w:tc>
        <w:tc>
          <w:tcPr>
            <w:tcW w:type="dxa" w:w="1440"/>
            <w:vAlign w:val="top"/>
          </w:tcPr>
          <w:p>
            <w:r>
              <w:rPr>
                <w:sz w:val="17"/>
              </w:rPr>
            </w:r>
            <w:r>
              <w:rPr>
                <w:b w:val="0"/>
                <w:sz w:val="17"/>
              </w:rPr>
              <w:t>3</w:t>
            </w:r>
          </w:p>
        </w:tc>
        <w:tc>
          <w:tcPr>
            <w:tcW w:type="dxa" w:w="1440"/>
            <w:vAlign w:val="top"/>
          </w:tcPr>
          <w:p>
            <w:r>
              <w:rPr>
                <w:sz w:val="17"/>
              </w:rPr>
            </w:r>
            <w:r>
              <w:rPr>
                <w:b w:val="0"/>
                <w:sz w:val="17"/>
              </w:rPr>
              <w:t>0</w:t>
            </w:r>
          </w:p>
        </w:tc>
      </w:tr>
    </w:tbl>
    <w:p/>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Preliminary GABRIEL v9 Report - internal descriptive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GABRIEL v9 Report</dc:title>
  <dc:subject>Peer-community comparability in Massachusetts municipal wage-setting documents</dc:subject>
  <dc:creator>OpenAI / ChatGPT</dc:creator>
  <cp:keywords/>
  <dc:description>Generated from user-provided GABRIEL v9 outputs and figures.</dc:description>
  <cp:lastModifiedBy/>
  <cp:revision>1</cp:revision>
  <dcterms:created xsi:type="dcterms:W3CDTF">2013-12-23T23:15:00Z</dcterms:created>
  <dcterms:modified xsi:type="dcterms:W3CDTF">2013-12-23T23:15:00Z</dcterms:modified>
  <cp:category/>
</cp:coreProperties>
</file>