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40" w:after="360"/>
        <w:jc w:val="center"/>
      </w:pPr>
      <w:r>
        <w:rPr>
          <w:rFonts w:ascii="Calibri" w:hAnsi="Calibri"/>
          <w:b/>
          <w:color w:val="7A5A00"/>
          <w:sz w:val="22"/>
        </w:rPr>
        <w:t>GABRIEL WAGES</w:t>
      </w:r>
    </w:p>
    <w:p>
      <w:pPr>
        <w:spacing w:after="200"/>
        <w:jc w:val="center"/>
      </w:pPr>
      <w:r>
        <w:rPr>
          <w:rFonts w:ascii="Calibri" w:hAnsi="Calibri"/>
          <w:b/>
          <w:color w:val="0B2545"/>
          <w:sz w:val="54"/>
        </w:rPr>
        <w:t>Why Public-Safety Wages May Rise Faster</w:t>
        <w:br/>
        <w:t>Than Other Municipal Wages</w:t>
      </w:r>
    </w:p>
    <w:p>
      <w:pPr>
        <w:spacing w:after="1040"/>
        <w:jc w:val="center"/>
      </w:pPr>
      <w:r>
        <w:rPr>
          <w:i/>
          <w:color w:val="4F5B66"/>
          <w:sz w:val="26"/>
        </w:rPr>
        <w:t>Processed evidence, plausible mechanisms, and bounded local comparisons</w:t>
      </w:r>
    </w:p>
    <w:p>
      <w:pPr>
        <w:spacing w:after="160"/>
        <w:jc w:val="center"/>
      </w:pPr>
      <w:r>
        <w:rPr>
          <w:color w:val="4F5B66"/>
          <w:sz w:val="22"/>
        </w:rPr>
        <w:t>PI-facing research report draft</w:t>
        <w:br/>
        <w:t>July 30, 2026</w:t>
      </w:r>
    </w:p>
    <w:p>
      <w:pPr>
        <w:spacing w:before="1360"/>
        <w:jc w:val="center"/>
      </w:pPr>
      <w:r>
        <w:rPr>
          <w:b/>
          <w:color w:val="7A5A00"/>
          <w:sz w:val="20"/>
        </w:rPr>
        <w:t>Claim boundary</w:t>
      </w:r>
      <w:r>
        <w:rPr>
          <w:sz w:val="20"/>
        </w:rPr>
        <w:br/>
        <w:t>Mechanism evidence and bounded local documentary comparisons;</w:t>
        <w:br/>
        <w:t>no final wage-gap, prevalence, regression, treatment-effect, or causal conclusions.</w:t>
      </w:r>
    </w:p>
    <w:p>
      <w:r>
        <w:br w:type="page"/>
      </w:r>
    </w:p>
    <w:p>
      <w:r/>
      <w:r>
        <w:rPr>
          <w:b/>
        </w:rPr>
        <w:t>PI-facing evidence report draft | July 30, 2026</w:t>
      </w:r>
      <w:r/>
    </w:p>
    <w:p>
      <w:r>
        <w:t>This report summarizes what the current processed evidence can responsibly say about municipal wage-growth mechanisms and bounded local wage differences. It emphasizes findings and inference boundaries rather than pipeline operations.</w:t>
      </w:r>
    </w:p>
    <w:p>
      <w:pPr>
        <w:pStyle w:val="Heading1"/>
      </w:pPr>
      <w:r>
        <w:t>1. Executive Summary</w:t>
      </w:r>
    </w:p>
    <w:p>
      <w:r>
        <w:t>The project can now make a set of careful, evidence-based statements about how municipal compensation changes are structured and justified. Within the processed rated corpus, wage growth is not captured by a single base-wage number. It is assembled through scheduled percentage increases, step and grade progression, COLA or CPI-linked clauses, implementation dates, retroactive payments, bargaining and dispute-resolution rules, market-comparability rationales, and a large layer of non-base compensation. These are documentary mechanism findings: they identify recurring channels in the records that were found, retained, extracted, rated, and codified. They do not establish national prevalence or causal effects.</w:t>
      </w:r>
    </w:p>
    <w:p>
      <w:r>
        <w:t>The strongest substantive conclusion is that non-base compensation must be treated as a central part of the empirical design rather than as an appendix to base wages. Among valid rated spans, 3,718 carry a non-base compensation signal, including longevity pay, shift differentials, hazard and specialty pay, certification and education incentives, stipends, allowances, and overtime-related premiums. Direct base-wage schedules are also abundant—2,687 rated signals—but their usefulness depends on aligning pay basis, effective period, occupation, rank, step, grade, and base-versus-non-base status. Timing is another prominent channel: 2,230 rated signals concern implementation or retroactivity, indicating that two agreements with similar headline increases may generate different realized compensation paths because of effective dates, delayed settlements, or retroactive payment rules.</w:t>
      </w:r>
    </w:p>
    <w:p>
      <w:r>
        <w:t>The quantitative rescue strengthens the mechanism evidence without converting it into a national comparison. It identified 416 records with source-reported quantitative growth mechanisms: 336 percentage increases, 49 COLA/CPI adjustments, 29 step-schedule increases, and 2 retroactive or lump-sum mechanisms. The report uses six transparent examples—such as a 2% police raise in Howland, Ohio; a 1.5% police COLA/CPI mechanism in Sunrise Beach, Missouri; and a 2.25% police step-schedule mechanism in Bath, Ohio—to show the kind of growth rule documented in the source record. These figures are source-reported mechanisms, not analyst-computed growth estimates or evidence that the same rule is broadly prevalent.</w:t>
      </w:r>
    </w:p>
    <w:p>
      <w:r>
        <w:t>The current matched evidence also supports a narrow set of bounded local documentary comparisons. Shreve, Ohio, is the cleanest supporting example: the 2024 municipal wage ordinance lists part-time police officers at $22.00 per hour and a part-time utility clerk at $16.00 per hour, a source-grounded difference of $6.00 per hour, or 37.5% relative to the clerk rate. Cammack Village and Canastota can be used only with heavy candidate-specific caveats, and Alburtis belongs in the limits or appendix because its police-side observation is the Chief of Police, explicitly outside the police bargaining unit. None of these comparisons is a final wage-gap estimate; each remains local, documentary, and subject to final substantive validation.</w:t>
      </w:r>
    </w:p>
    <w:p>
      <w:r>
        <w:t>What remains blocked is as important as what is now usable. The corpus does not yet support a final safety-versus-non-safety wage-gap estimate, a nationally representative prevalence statement, a regression or treatment-effect result, or a final causal claim. Directional ratings are uneven: 637 non-safety-advantage hints, 78 safety-advantage hints, and 45 gap-narrowing hints coexist with 6,830 neutral/general and 10,964 not-applicable ratings. That distribution makes selective citation especially risky. The matching layer is promising but still limited: 2,712 municipality-cycle groups yield 65 safety/non-safety matched-cycle candidates, 303 potentially comparable normalized wage candidates, and 141 cycle-to-cycle growth-readiness candidates.</w:t>
      </w:r>
    </w:p>
    <w:p>
      <w:r>
        <w:t>The immediate next step is human review and tightening, not a larger claim. The four bounded comparisons should receive final substantive and, where relevant, legal validation; the 185 near-gap-ready records should receive targeted normalization; and the 65 matched cycles and 303 comparable candidates should be refined into occupation-, rank-, pay-basis-, and period-aligned pairs. An OCR strategy for the 601 deferred sources can expand the evidence base later. Exploratory wage-gap estimation should begin only after a documented review gate authorizes the matched inputs, while causal modeling should wait for a substantially stronger matched structure and identification strategy.</w:t>
      </w:r>
    </w:p>
    <w:p>
      <w:pPr>
        <w:pStyle w:val="Heading1"/>
      </w:pPr>
      <w:r>
        <w:t>2. Processed Evidence Base</w:t>
      </w:r>
    </w:p>
    <w:p>
      <w:r>
        <w:t>The evidence base is broad enough to support mechanism analysis but not a probability-sample claim about municipalities. Scout coverage currently reaches 16,887 municipalities, or 47.45% of the project's 35,589 eligible or known municipality universe. The 4x2500 wave produced 10,000 terminal outcomes, of which 9,968 were parseable. Those outcomes generated 9,977 raw candidate rows and 9,072 deduplicated candidates; 5,768 entered verification, and 3,950 were reachable and suitable for source review.</w:t>
      </w:r>
    </w:p>
    <w:p>
      <w:r>
        <w:t>Source review retained 3,672 unique documents—3,248 PDFs, 350 HTML pages, and 74 other document types. Text-readiness review identified 2,940 non-OCR sources suitable for extraction. Text extraction produced 2,795 clean, span-ready sources and 182.1 million bytes of local extracted text. Span extraction produced 19,118 candidate passages, of which 18,612 met the rating threshold. Rating yielded 18,554 valid records; 58 were quarantined and remain excluded from the evidentiary layer used here.</w:t>
      </w:r>
    </w:p>
    <w:p>
      <w:r>
        <w:t>The quantitative layer contains 11,548 records with some compensation value or growth information. Normalization classified 672 as full, 1,563 as partial, 3,769 as mechanism-only, 720 as deferred for manual review, and 4,824 as unusable for safe comparison. The targeted rescue upgraded a small share of the partial basket and identified 416 records with quantitative growth mechanisms. The most important implication is not the size of the pipeline; it is that the documentary corpus now separates evidence that can support mechanism description from evidence that still requires normalization, matching, or exclusion.</w:t>
      </w:r>
    </w:p>
    <w:tbl>
      <w:tblPr>
        <w:tblStyle w:val="TableGrid"/>
        <w:tblW w:type="dxa" w:w="9360"/>
        <w:jc w:val="left"/>
        <w:tblLayout w:type="fixed"/>
        <w:tblLook w:firstColumn="1" w:firstRow="1" w:lastColumn="0" w:lastRow="0" w:noHBand="0" w:noVBand="1" w:val="04A0"/>
        <w:tblInd w:w="120" w:type="dxa"/>
      </w:tblPr>
      <w:tblGrid>
        <w:gridCol w:w="2500"/>
        <w:gridCol w:w="1900"/>
        <w:gridCol w:w="4960"/>
      </w:tblGrid>
      <w:tr>
        <w:tc>
          <w:tcPr>
            <w:tcW w:type="dxa" w:w="2500"/>
            <w:tcMar>
              <w:top w:w="80" w:type="dxa"/>
              <w:start w:w="120" w:type="dxa"/>
              <w:bottom w:w="80" w:type="dxa"/>
              <w:end w:w="120" w:type="dxa"/>
            </w:tcMar>
            <w:vAlign w:val="center"/>
            <w:shd w:fill="F2F4F7"/>
          </w:tcPr>
          <w:p>
            <w:pPr>
              <w:spacing w:before="0" w:after="0" w:line="252" w:lineRule="auto"/>
            </w:pPr>
            <w:r>
              <w:rPr>
                <w:rFonts w:ascii="Calibri" w:hAnsi="Calibri"/>
                <w:b/>
                <w:sz w:val="18"/>
              </w:rPr>
              <w:t>Evidence layer</w:t>
            </w:r>
          </w:p>
        </w:tc>
        <w:tc>
          <w:tcPr>
            <w:tcW w:type="dxa" w:w="1900"/>
            <w:tcMar>
              <w:top w:w="80" w:type="dxa"/>
              <w:start w:w="120" w:type="dxa"/>
              <w:bottom w:w="80" w:type="dxa"/>
              <w:end w:w="120" w:type="dxa"/>
            </w:tcMar>
            <w:vAlign w:val="center"/>
            <w:shd w:fill="F2F4F7"/>
          </w:tcPr>
          <w:p>
            <w:pPr>
              <w:spacing w:before="0" w:after="0" w:line="252" w:lineRule="auto"/>
              <w:jc w:val="left"/>
            </w:pPr>
            <w:r>
              <w:rPr>
                <w:rFonts w:ascii="Calibri" w:hAnsi="Calibri"/>
                <w:b/>
                <w:sz w:val="18"/>
              </w:rPr>
              <w:t>Current usable count</w:t>
            </w:r>
          </w:p>
        </w:tc>
        <w:tc>
          <w:tcPr>
            <w:tcW w:type="dxa" w:w="4960"/>
            <w:tcMar>
              <w:top w:w="80" w:type="dxa"/>
              <w:start w:w="120" w:type="dxa"/>
              <w:bottom w:w="80" w:type="dxa"/>
              <w:end w:w="120" w:type="dxa"/>
            </w:tcMar>
            <w:vAlign w:val="center"/>
            <w:shd w:fill="F2F4F7"/>
          </w:tcPr>
          <w:p>
            <w:pPr>
              <w:spacing w:before="0" w:after="0" w:line="252" w:lineRule="auto"/>
              <w:jc w:val="left"/>
            </w:pPr>
            <w:r>
              <w:rPr>
                <w:rFonts w:ascii="Calibri" w:hAnsi="Calibri"/>
                <w:b/>
                <w:sz w:val="18"/>
              </w:rPr>
              <w:t>Interpretation</w:t>
            </w:r>
          </w:p>
        </w:tc>
      </w:tr>
      <w:tr>
        <w:tc>
          <w:tcPr>
            <w:tcW w:type="dxa" w:w="2500"/>
            <w:tcMar>
              <w:top w:w="80" w:type="dxa"/>
              <w:start w:w="120" w:type="dxa"/>
              <w:bottom w:w="80" w:type="dxa"/>
              <w:end w:w="120" w:type="dxa"/>
            </w:tcMar>
            <w:vAlign w:val="center"/>
          </w:tcPr>
          <w:p>
            <w:pPr>
              <w:spacing w:before="0" w:after="0" w:line="252" w:lineRule="auto"/>
            </w:pPr>
            <w:r>
              <w:rPr>
                <w:rFonts w:ascii="Calibri" w:hAnsi="Calibri"/>
                <w:b w:val="0"/>
                <w:sz w:val="18"/>
              </w:rPr>
              <w:t>Retained sources</w:t>
            </w:r>
          </w:p>
        </w:tc>
        <w:tc>
          <w:tcPr>
            <w:tcW w:type="dxa" w:w="1900"/>
            <w:tcMar>
              <w:top w:w="80" w:type="dxa"/>
              <w:start w:w="120" w:type="dxa"/>
              <w:bottom w:w="80" w:type="dxa"/>
              <w:end w:w="120" w:type="dxa"/>
            </w:tcMar>
            <w:vAlign w:val="center"/>
          </w:tcPr>
          <w:p>
            <w:pPr>
              <w:spacing w:before="0" w:after="0" w:line="252" w:lineRule="auto"/>
              <w:jc w:val="left"/>
            </w:pPr>
            <w:r>
              <w:rPr>
                <w:rFonts w:ascii="Calibri" w:hAnsi="Calibri"/>
                <w:b w:val="0"/>
                <w:sz w:val="18"/>
              </w:rPr>
              <w:t>3,672</w:t>
            </w:r>
          </w:p>
        </w:tc>
        <w:tc>
          <w:tcPr>
            <w:tcW w:type="dxa" w:w="4960"/>
            <w:tcMar>
              <w:top w:w="80" w:type="dxa"/>
              <w:start w:w="120" w:type="dxa"/>
              <w:bottom w:w="80" w:type="dxa"/>
              <w:end w:w="120" w:type="dxa"/>
            </w:tcMar>
            <w:vAlign w:val="center"/>
          </w:tcPr>
          <w:p>
            <w:pPr>
              <w:spacing w:before="0" w:after="0" w:line="252" w:lineRule="auto"/>
              <w:jc w:val="left"/>
            </w:pPr>
            <w:r>
              <w:rPr>
                <w:rFonts w:ascii="Calibri" w:hAnsi="Calibri"/>
                <w:b w:val="0"/>
                <w:sz w:val="18"/>
              </w:rPr>
              <w:t>Unique retained documents after source review</w:t>
            </w:r>
          </w:p>
        </w:tc>
      </w:tr>
      <w:tr>
        <w:tc>
          <w:tcPr>
            <w:tcW w:type="dxa" w:w="2500"/>
            <w:tcMar>
              <w:top w:w="80" w:type="dxa"/>
              <w:start w:w="120" w:type="dxa"/>
              <w:bottom w:w="80" w:type="dxa"/>
              <w:end w:w="120" w:type="dxa"/>
            </w:tcMar>
            <w:vAlign w:val="center"/>
          </w:tcPr>
          <w:p>
            <w:pPr>
              <w:spacing w:before="0" w:after="0" w:line="252" w:lineRule="auto"/>
            </w:pPr>
            <w:r>
              <w:rPr>
                <w:rFonts w:ascii="Calibri" w:hAnsi="Calibri"/>
                <w:b w:val="0"/>
                <w:sz w:val="18"/>
              </w:rPr>
              <w:t>Clean/span-ready sources</w:t>
            </w:r>
          </w:p>
        </w:tc>
        <w:tc>
          <w:tcPr>
            <w:tcW w:type="dxa" w:w="1900"/>
            <w:tcMar>
              <w:top w:w="80" w:type="dxa"/>
              <w:start w:w="120" w:type="dxa"/>
              <w:bottom w:w="80" w:type="dxa"/>
              <w:end w:w="120" w:type="dxa"/>
            </w:tcMar>
            <w:vAlign w:val="center"/>
          </w:tcPr>
          <w:p>
            <w:pPr>
              <w:spacing w:before="0" w:after="0" w:line="252" w:lineRule="auto"/>
              <w:jc w:val="left"/>
            </w:pPr>
            <w:r>
              <w:rPr>
                <w:rFonts w:ascii="Calibri" w:hAnsi="Calibri"/>
                <w:b w:val="0"/>
                <w:sz w:val="18"/>
              </w:rPr>
              <w:t>2,795</w:t>
            </w:r>
          </w:p>
        </w:tc>
        <w:tc>
          <w:tcPr>
            <w:tcW w:type="dxa" w:w="4960"/>
            <w:tcMar>
              <w:top w:w="80" w:type="dxa"/>
              <w:start w:w="120" w:type="dxa"/>
              <w:bottom w:w="80" w:type="dxa"/>
              <w:end w:w="120" w:type="dxa"/>
            </w:tcMar>
            <w:vAlign w:val="center"/>
          </w:tcPr>
          <w:p>
            <w:pPr>
              <w:spacing w:before="0" w:after="0" w:line="252" w:lineRule="auto"/>
              <w:jc w:val="left"/>
            </w:pPr>
            <w:r>
              <w:rPr>
                <w:rFonts w:ascii="Calibri" w:hAnsi="Calibri"/>
                <w:b w:val="0"/>
                <w:sz w:val="18"/>
              </w:rPr>
              <w:t>Non-OCR text suitable for exact-span review</w:t>
            </w:r>
          </w:p>
        </w:tc>
      </w:tr>
      <w:tr>
        <w:tc>
          <w:tcPr>
            <w:tcW w:type="dxa" w:w="2500"/>
            <w:tcMar>
              <w:top w:w="80" w:type="dxa"/>
              <w:start w:w="120" w:type="dxa"/>
              <w:bottom w:w="80" w:type="dxa"/>
              <w:end w:w="120" w:type="dxa"/>
            </w:tcMar>
            <w:vAlign w:val="center"/>
          </w:tcPr>
          <w:p>
            <w:pPr>
              <w:spacing w:before="0" w:after="0" w:line="252" w:lineRule="auto"/>
            </w:pPr>
            <w:r>
              <w:rPr>
                <w:rFonts w:ascii="Calibri" w:hAnsi="Calibri"/>
                <w:b w:val="0"/>
                <w:sz w:val="18"/>
              </w:rPr>
              <w:t>Valid rated spans</w:t>
            </w:r>
          </w:p>
        </w:tc>
        <w:tc>
          <w:tcPr>
            <w:tcW w:type="dxa" w:w="1900"/>
            <w:tcMar>
              <w:top w:w="80" w:type="dxa"/>
              <w:start w:w="120" w:type="dxa"/>
              <w:bottom w:w="80" w:type="dxa"/>
              <w:end w:w="120" w:type="dxa"/>
            </w:tcMar>
            <w:vAlign w:val="center"/>
          </w:tcPr>
          <w:p>
            <w:pPr>
              <w:spacing w:before="0" w:after="0" w:line="252" w:lineRule="auto"/>
              <w:jc w:val="left"/>
            </w:pPr>
            <w:r>
              <w:rPr>
                <w:rFonts w:ascii="Calibri" w:hAnsi="Calibri"/>
                <w:b w:val="0"/>
                <w:sz w:val="18"/>
              </w:rPr>
              <w:t>18,554</w:t>
            </w:r>
          </w:p>
        </w:tc>
        <w:tc>
          <w:tcPr>
            <w:tcW w:type="dxa" w:w="4960"/>
            <w:tcMar>
              <w:top w:w="80" w:type="dxa"/>
              <w:start w:w="120" w:type="dxa"/>
              <w:bottom w:w="80" w:type="dxa"/>
              <w:end w:w="120" w:type="dxa"/>
            </w:tcMar>
            <w:vAlign w:val="center"/>
          </w:tcPr>
          <w:p>
            <w:pPr>
              <w:spacing w:before="0" w:after="0" w:line="252" w:lineRule="auto"/>
              <w:jc w:val="left"/>
            </w:pPr>
            <w:r>
              <w:rPr>
                <w:rFonts w:ascii="Calibri" w:hAnsi="Calibri"/>
                <w:b w:val="0"/>
                <w:sz w:val="18"/>
              </w:rPr>
              <w:t>Schema-valid ratings used for codification</w:t>
            </w:r>
          </w:p>
        </w:tc>
      </w:tr>
      <w:tr>
        <w:tc>
          <w:tcPr>
            <w:tcW w:type="dxa" w:w="2500"/>
            <w:tcMar>
              <w:top w:w="80" w:type="dxa"/>
              <w:start w:w="120" w:type="dxa"/>
              <w:bottom w:w="80" w:type="dxa"/>
              <w:end w:w="120" w:type="dxa"/>
            </w:tcMar>
            <w:vAlign w:val="center"/>
          </w:tcPr>
          <w:p>
            <w:pPr>
              <w:spacing w:before="0" w:after="0" w:line="252" w:lineRule="auto"/>
            </w:pPr>
            <w:r>
              <w:rPr>
                <w:rFonts w:ascii="Calibri" w:hAnsi="Calibri"/>
                <w:b w:val="0"/>
                <w:sz w:val="18"/>
              </w:rPr>
              <w:t>Normalized quantitative records</w:t>
            </w:r>
          </w:p>
        </w:tc>
        <w:tc>
          <w:tcPr>
            <w:tcW w:type="dxa" w:w="1900"/>
            <w:tcMar>
              <w:top w:w="80" w:type="dxa"/>
              <w:start w:w="120" w:type="dxa"/>
              <w:bottom w:w="80" w:type="dxa"/>
              <w:end w:w="120" w:type="dxa"/>
            </w:tcMar>
            <w:vAlign w:val="center"/>
          </w:tcPr>
          <w:p>
            <w:pPr>
              <w:spacing w:before="0" w:after="0" w:line="252" w:lineRule="auto"/>
              <w:jc w:val="left"/>
            </w:pPr>
            <w:r>
              <w:rPr>
                <w:rFonts w:ascii="Calibri" w:hAnsi="Calibri"/>
                <w:b w:val="0"/>
                <w:sz w:val="18"/>
              </w:rPr>
              <w:t>11,548</w:t>
            </w:r>
          </w:p>
        </w:tc>
        <w:tc>
          <w:tcPr>
            <w:tcW w:type="dxa" w:w="4960"/>
            <w:tcMar>
              <w:top w:w="80" w:type="dxa"/>
              <w:start w:w="120" w:type="dxa"/>
              <w:bottom w:w="80" w:type="dxa"/>
              <w:end w:w="120" w:type="dxa"/>
            </w:tcMar>
            <w:vAlign w:val="center"/>
          </w:tcPr>
          <w:p>
            <w:pPr>
              <w:spacing w:before="0" w:after="0" w:line="252" w:lineRule="auto"/>
              <w:jc w:val="left"/>
            </w:pPr>
            <w:r>
              <w:rPr>
                <w:rFonts w:ascii="Calibri" w:hAnsi="Calibri"/>
                <w:b w:val="0"/>
                <w:sz w:val="18"/>
              </w:rPr>
              <w:t>Includes full, partial, mechanism-only, deferred, and unusable statuses</w:t>
            </w:r>
          </w:p>
        </w:tc>
      </w:tr>
      <w:tr>
        <w:tc>
          <w:tcPr>
            <w:tcW w:type="dxa" w:w="2500"/>
            <w:tcMar>
              <w:top w:w="80" w:type="dxa"/>
              <w:start w:w="120" w:type="dxa"/>
              <w:bottom w:w="80" w:type="dxa"/>
              <w:end w:w="120" w:type="dxa"/>
            </w:tcMar>
            <w:vAlign w:val="center"/>
          </w:tcPr>
          <w:p>
            <w:pPr>
              <w:spacing w:before="0" w:after="0" w:line="252" w:lineRule="auto"/>
            </w:pPr>
            <w:r>
              <w:rPr>
                <w:rFonts w:ascii="Calibri" w:hAnsi="Calibri"/>
                <w:b w:val="0"/>
                <w:sz w:val="18"/>
              </w:rPr>
              <w:t>Quantitatively supported growth records</w:t>
            </w:r>
          </w:p>
        </w:tc>
        <w:tc>
          <w:tcPr>
            <w:tcW w:type="dxa" w:w="1900"/>
            <w:tcMar>
              <w:top w:w="80" w:type="dxa"/>
              <w:start w:w="120" w:type="dxa"/>
              <w:bottom w:w="80" w:type="dxa"/>
              <w:end w:w="120" w:type="dxa"/>
            </w:tcMar>
            <w:vAlign w:val="center"/>
          </w:tcPr>
          <w:p>
            <w:pPr>
              <w:spacing w:before="0" w:after="0" w:line="252" w:lineRule="auto"/>
              <w:jc w:val="left"/>
            </w:pPr>
            <w:r>
              <w:rPr>
                <w:rFonts w:ascii="Calibri" w:hAnsi="Calibri"/>
                <w:b w:val="0"/>
                <w:sz w:val="18"/>
              </w:rPr>
              <w:t>416</w:t>
            </w:r>
          </w:p>
        </w:tc>
        <w:tc>
          <w:tcPr>
            <w:tcW w:type="dxa" w:w="4960"/>
            <w:tcMar>
              <w:top w:w="80" w:type="dxa"/>
              <w:start w:w="120" w:type="dxa"/>
              <w:bottom w:w="80" w:type="dxa"/>
              <w:end w:w="120" w:type="dxa"/>
            </w:tcMar>
            <w:vAlign w:val="center"/>
          </w:tcPr>
          <w:p>
            <w:pPr>
              <w:spacing w:before="0" w:after="0" w:line="252" w:lineRule="auto"/>
              <w:jc w:val="left"/>
            </w:pPr>
            <w:r>
              <w:rPr>
                <w:rFonts w:ascii="Calibri" w:hAnsi="Calibri"/>
                <w:b w:val="0"/>
                <w:sz w:val="18"/>
              </w:rPr>
              <w:t>Source-reported percentage, COLA/CPI, step, or retroactive mechanisms</w:t>
            </w:r>
          </w:p>
        </w:tc>
      </w:tr>
      <w:tr>
        <w:tc>
          <w:tcPr>
            <w:tcW w:type="dxa" w:w="2500"/>
            <w:tcMar>
              <w:top w:w="80" w:type="dxa"/>
              <w:start w:w="120" w:type="dxa"/>
              <w:bottom w:w="80" w:type="dxa"/>
              <w:end w:w="120" w:type="dxa"/>
            </w:tcMar>
            <w:vAlign w:val="center"/>
          </w:tcPr>
          <w:p>
            <w:pPr>
              <w:spacing w:before="0" w:after="0" w:line="252" w:lineRule="auto"/>
            </w:pPr>
            <w:r>
              <w:rPr>
                <w:rFonts w:ascii="Calibri" w:hAnsi="Calibri"/>
                <w:b w:val="0"/>
                <w:sz w:val="18"/>
              </w:rPr>
              <w:t>Bounded local comparison candidates</w:t>
            </w:r>
          </w:p>
        </w:tc>
        <w:tc>
          <w:tcPr>
            <w:tcW w:type="dxa" w:w="1900"/>
            <w:tcMar>
              <w:top w:w="80" w:type="dxa"/>
              <w:start w:w="120" w:type="dxa"/>
              <w:bottom w:w="80" w:type="dxa"/>
              <w:end w:w="120" w:type="dxa"/>
            </w:tcMar>
            <w:vAlign w:val="center"/>
          </w:tcPr>
          <w:p>
            <w:pPr>
              <w:spacing w:before="0" w:after="0" w:line="252" w:lineRule="auto"/>
              <w:jc w:val="left"/>
            </w:pPr>
            <w:r>
              <w:rPr>
                <w:rFonts w:ascii="Calibri" w:hAnsi="Calibri"/>
                <w:b w:val="0"/>
                <w:sz w:val="18"/>
              </w:rPr>
              <w:t>4</w:t>
            </w:r>
          </w:p>
        </w:tc>
        <w:tc>
          <w:tcPr>
            <w:tcW w:type="dxa" w:w="4960"/>
            <w:tcMar>
              <w:top w:w="80" w:type="dxa"/>
              <w:start w:w="120" w:type="dxa"/>
              <w:bottom w:w="80" w:type="dxa"/>
              <w:end w:w="120" w:type="dxa"/>
            </w:tcMar>
            <w:vAlign w:val="center"/>
          </w:tcPr>
          <w:p>
            <w:pPr>
              <w:spacing w:before="0" w:after="0" w:line="252" w:lineRule="auto"/>
              <w:jc w:val="left"/>
            </w:pPr>
            <w:r>
              <w:rPr>
                <w:rFonts w:ascii="Calibri" w:hAnsi="Calibri"/>
                <w:b w:val="0"/>
                <w:sz w:val="18"/>
              </w:rPr>
              <w:t>One PI-usable supporting example; three conditional/manual-review examples</w:t>
            </w:r>
          </w:p>
        </w:tc>
      </w:tr>
    </w:tbl>
    <w:p/>
    <w:p>
      <w:pPr>
        <w:pStyle w:val="Heading1"/>
      </w:pPr>
      <w:r>
        <w:t>3. Codified Evidence Categories</w:t>
      </w:r>
    </w:p>
    <w:p>
      <w:r>
        <w:t>The rating layer separates evidence quality and report use from mere textual relevance. Of the 18,554 valid ratings, 472 were classified as PI-report core-finding ready and 528 as supporting examples. Another 6,860 provide context, 5,533 contain quantitative content that requires downstream normalization, and 5,161 are excluded from the report layer. Claim relevance is similarly differentiated: 6,454 ratings directly support quantitative claims, 6,509 support mechanism summaries, 430 provide directional hints only, and 5,161 are weak or unsupported.</w:t>
      </w:r>
    </w:p>
    <w:tbl>
      <w:tblPr>
        <w:tblStyle w:val="TableGrid"/>
        <w:tblW w:type="dxa" w:w="9360"/>
        <w:jc w:val="left"/>
        <w:tblLayout w:type="fixed"/>
        <w:tblLook w:firstColumn="1" w:firstRow="1" w:lastColumn="0" w:lastRow="0" w:noHBand="0" w:noVBand="1" w:val="04A0"/>
        <w:tblInd w:w="120" w:type="dxa"/>
      </w:tblPr>
      <w:tblGrid>
        <w:gridCol w:w="2500"/>
        <w:gridCol w:w="1900"/>
        <w:gridCol w:w="4960"/>
      </w:tblGrid>
      <w:tr>
        <w:tc>
          <w:tcPr>
            <w:tcW w:type="dxa" w:w="2500"/>
            <w:tcMar>
              <w:top w:w="80" w:type="dxa"/>
              <w:start w:w="120" w:type="dxa"/>
              <w:bottom w:w="80" w:type="dxa"/>
              <w:end w:w="120" w:type="dxa"/>
            </w:tcMar>
            <w:vAlign w:val="center"/>
            <w:shd w:fill="F2F4F7"/>
          </w:tcPr>
          <w:p>
            <w:pPr>
              <w:spacing w:before="0" w:after="0" w:line="252" w:lineRule="auto"/>
            </w:pPr>
            <w:r>
              <w:rPr>
                <w:rFonts w:ascii="Calibri" w:hAnsi="Calibri"/>
                <w:b/>
                <w:sz w:val="18"/>
              </w:rPr>
              <w:t>Report-usability bucket</w:t>
            </w:r>
          </w:p>
        </w:tc>
        <w:tc>
          <w:tcPr>
            <w:tcW w:type="dxa" w:w="1900"/>
            <w:tcMar>
              <w:top w:w="80" w:type="dxa"/>
              <w:start w:w="120" w:type="dxa"/>
              <w:bottom w:w="80" w:type="dxa"/>
              <w:end w:w="120" w:type="dxa"/>
            </w:tcMar>
            <w:vAlign w:val="center"/>
            <w:shd w:fill="F2F4F7"/>
          </w:tcPr>
          <w:p>
            <w:pPr>
              <w:spacing w:before="0" w:after="0" w:line="252" w:lineRule="auto"/>
              <w:jc w:val="left"/>
            </w:pPr>
            <w:r>
              <w:rPr>
                <w:rFonts w:ascii="Calibri" w:hAnsi="Calibri"/>
                <w:b/>
                <w:sz w:val="18"/>
              </w:rPr>
              <w:t>Count</w:t>
            </w:r>
          </w:p>
        </w:tc>
        <w:tc>
          <w:tcPr>
            <w:tcW w:type="dxa" w:w="4960"/>
            <w:tcMar>
              <w:top w:w="80" w:type="dxa"/>
              <w:start w:w="120" w:type="dxa"/>
              <w:bottom w:w="80" w:type="dxa"/>
              <w:end w:w="120" w:type="dxa"/>
            </w:tcMar>
            <w:vAlign w:val="center"/>
            <w:shd w:fill="F2F4F7"/>
          </w:tcPr>
          <w:p>
            <w:pPr>
              <w:spacing w:before="0" w:after="0" w:line="252" w:lineRule="auto"/>
              <w:jc w:val="left"/>
            </w:pPr>
            <w:r>
              <w:rPr>
                <w:rFonts w:ascii="Calibri" w:hAnsi="Calibri"/>
                <w:b/>
                <w:sz w:val="18"/>
              </w:rPr>
              <w:t>Intended use</w:t>
            </w:r>
          </w:p>
        </w:tc>
      </w:tr>
      <w:tr>
        <w:tc>
          <w:tcPr>
            <w:tcW w:type="dxa" w:w="2500"/>
            <w:tcMar>
              <w:top w:w="80" w:type="dxa"/>
              <w:start w:w="120" w:type="dxa"/>
              <w:bottom w:w="80" w:type="dxa"/>
              <w:end w:w="120" w:type="dxa"/>
            </w:tcMar>
            <w:vAlign w:val="center"/>
          </w:tcPr>
          <w:p>
            <w:pPr>
              <w:spacing w:before="0" w:after="0" w:line="252" w:lineRule="auto"/>
            </w:pPr>
            <w:r>
              <w:rPr>
                <w:rFonts w:ascii="Calibri" w:hAnsi="Calibri"/>
                <w:b w:val="0"/>
                <w:sz w:val="18"/>
              </w:rPr>
              <w:t>Core finding ready</w:t>
            </w:r>
          </w:p>
        </w:tc>
        <w:tc>
          <w:tcPr>
            <w:tcW w:type="dxa" w:w="1900"/>
            <w:tcMar>
              <w:top w:w="80" w:type="dxa"/>
              <w:start w:w="120" w:type="dxa"/>
              <w:bottom w:w="80" w:type="dxa"/>
              <w:end w:w="120" w:type="dxa"/>
            </w:tcMar>
            <w:vAlign w:val="center"/>
          </w:tcPr>
          <w:p>
            <w:pPr>
              <w:spacing w:before="0" w:after="0" w:line="252" w:lineRule="auto"/>
              <w:jc w:val="left"/>
            </w:pPr>
            <w:r>
              <w:rPr>
                <w:rFonts w:ascii="Calibri" w:hAnsi="Calibri"/>
                <w:b w:val="0"/>
                <w:sz w:val="18"/>
              </w:rPr>
              <w:t>472</w:t>
            </w:r>
          </w:p>
        </w:tc>
        <w:tc>
          <w:tcPr>
            <w:tcW w:type="dxa" w:w="4960"/>
            <w:tcMar>
              <w:top w:w="80" w:type="dxa"/>
              <w:start w:w="120" w:type="dxa"/>
              <w:bottom w:w="80" w:type="dxa"/>
              <w:end w:w="120" w:type="dxa"/>
            </w:tcMar>
            <w:vAlign w:val="center"/>
          </w:tcPr>
          <w:p>
            <w:pPr>
              <w:spacing w:before="0" w:after="0" w:line="252" w:lineRule="auto"/>
              <w:jc w:val="left"/>
            </w:pPr>
            <w:r>
              <w:rPr>
                <w:rFonts w:ascii="Calibri" w:hAnsi="Calibri"/>
                <w:b w:val="0"/>
                <w:sz w:val="18"/>
              </w:rPr>
              <w:t>Candidate mechanism findings after claim-boundary review</w:t>
            </w:r>
          </w:p>
        </w:tc>
      </w:tr>
      <w:tr>
        <w:tc>
          <w:tcPr>
            <w:tcW w:type="dxa" w:w="2500"/>
            <w:tcMar>
              <w:top w:w="80" w:type="dxa"/>
              <w:start w:w="120" w:type="dxa"/>
              <w:bottom w:w="80" w:type="dxa"/>
              <w:end w:w="120" w:type="dxa"/>
            </w:tcMar>
            <w:vAlign w:val="center"/>
          </w:tcPr>
          <w:p>
            <w:pPr>
              <w:spacing w:before="0" w:after="0" w:line="252" w:lineRule="auto"/>
            </w:pPr>
            <w:r>
              <w:rPr>
                <w:rFonts w:ascii="Calibri" w:hAnsi="Calibri"/>
                <w:b w:val="0"/>
                <w:sz w:val="18"/>
              </w:rPr>
              <w:t>Supporting example</w:t>
            </w:r>
          </w:p>
        </w:tc>
        <w:tc>
          <w:tcPr>
            <w:tcW w:type="dxa" w:w="1900"/>
            <w:tcMar>
              <w:top w:w="80" w:type="dxa"/>
              <w:start w:w="120" w:type="dxa"/>
              <w:bottom w:w="80" w:type="dxa"/>
              <w:end w:w="120" w:type="dxa"/>
            </w:tcMar>
            <w:vAlign w:val="center"/>
          </w:tcPr>
          <w:p>
            <w:pPr>
              <w:spacing w:before="0" w:after="0" w:line="252" w:lineRule="auto"/>
              <w:jc w:val="left"/>
            </w:pPr>
            <w:r>
              <w:rPr>
                <w:rFonts w:ascii="Calibri" w:hAnsi="Calibri"/>
                <w:b w:val="0"/>
                <w:sz w:val="18"/>
              </w:rPr>
              <w:t>528</w:t>
            </w:r>
          </w:p>
        </w:tc>
        <w:tc>
          <w:tcPr>
            <w:tcW w:type="dxa" w:w="4960"/>
            <w:tcMar>
              <w:top w:w="80" w:type="dxa"/>
              <w:start w:w="120" w:type="dxa"/>
              <w:bottom w:w="80" w:type="dxa"/>
              <w:end w:w="120" w:type="dxa"/>
            </w:tcMar>
            <w:vAlign w:val="center"/>
          </w:tcPr>
          <w:p>
            <w:pPr>
              <w:spacing w:before="0" w:after="0" w:line="252" w:lineRule="auto"/>
              <w:jc w:val="left"/>
            </w:pPr>
            <w:r>
              <w:rPr>
                <w:rFonts w:ascii="Calibri" w:hAnsi="Calibri"/>
                <w:b w:val="0"/>
                <w:sz w:val="18"/>
              </w:rPr>
              <w:t>Source-specific illustrations with explicit caveats</w:t>
            </w:r>
          </w:p>
        </w:tc>
      </w:tr>
      <w:tr>
        <w:tc>
          <w:tcPr>
            <w:tcW w:type="dxa" w:w="2500"/>
            <w:tcMar>
              <w:top w:w="80" w:type="dxa"/>
              <w:start w:w="120" w:type="dxa"/>
              <w:bottom w:w="80" w:type="dxa"/>
              <w:end w:w="120" w:type="dxa"/>
            </w:tcMar>
            <w:vAlign w:val="center"/>
          </w:tcPr>
          <w:p>
            <w:pPr>
              <w:spacing w:before="0" w:after="0" w:line="252" w:lineRule="auto"/>
            </w:pPr>
            <w:r>
              <w:rPr>
                <w:rFonts w:ascii="Calibri" w:hAnsi="Calibri"/>
                <w:b w:val="0"/>
                <w:sz w:val="18"/>
              </w:rPr>
              <w:t>Context only</w:t>
            </w:r>
          </w:p>
        </w:tc>
        <w:tc>
          <w:tcPr>
            <w:tcW w:type="dxa" w:w="1900"/>
            <w:tcMar>
              <w:top w:w="80" w:type="dxa"/>
              <w:start w:w="120" w:type="dxa"/>
              <w:bottom w:w="80" w:type="dxa"/>
              <w:end w:w="120" w:type="dxa"/>
            </w:tcMar>
            <w:vAlign w:val="center"/>
          </w:tcPr>
          <w:p>
            <w:pPr>
              <w:spacing w:before="0" w:after="0" w:line="252" w:lineRule="auto"/>
              <w:jc w:val="left"/>
            </w:pPr>
            <w:r>
              <w:rPr>
                <w:rFonts w:ascii="Calibri" w:hAnsi="Calibri"/>
                <w:b w:val="0"/>
                <w:sz w:val="18"/>
              </w:rPr>
              <w:t>6,860</w:t>
            </w:r>
          </w:p>
        </w:tc>
        <w:tc>
          <w:tcPr>
            <w:tcW w:type="dxa" w:w="4960"/>
            <w:tcMar>
              <w:top w:w="80" w:type="dxa"/>
              <w:start w:w="120" w:type="dxa"/>
              <w:bottom w:w="80" w:type="dxa"/>
              <w:end w:w="120" w:type="dxa"/>
            </w:tcMar>
            <w:vAlign w:val="center"/>
          </w:tcPr>
          <w:p>
            <w:pPr>
              <w:spacing w:before="0" w:after="0" w:line="252" w:lineRule="auto"/>
              <w:jc w:val="left"/>
            </w:pPr>
            <w:r>
              <w:rPr>
                <w:rFonts w:ascii="Calibri" w:hAnsi="Calibri"/>
                <w:b w:val="0"/>
                <w:sz w:val="18"/>
              </w:rPr>
              <w:t>Interpretation and source context, not a finding by itself</w:t>
            </w:r>
          </w:p>
        </w:tc>
      </w:tr>
      <w:tr>
        <w:tc>
          <w:tcPr>
            <w:tcW w:type="dxa" w:w="2500"/>
            <w:tcMar>
              <w:top w:w="80" w:type="dxa"/>
              <w:start w:w="120" w:type="dxa"/>
              <w:bottom w:w="80" w:type="dxa"/>
              <w:end w:w="120" w:type="dxa"/>
            </w:tcMar>
            <w:vAlign w:val="center"/>
          </w:tcPr>
          <w:p>
            <w:pPr>
              <w:spacing w:before="0" w:after="0" w:line="252" w:lineRule="auto"/>
            </w:pPr>
            <w:r>
              <w:rPr>
                <w:rFonts w:ascii="Calibri" w:hAnsi="Calibri"/>
                <w:b w:val="0"/>
                <w:sz w:val="18"/>
              </w:rPr>
              <w:t>Normalization needed</w:t>
            </w:r>
          </w:p>
        </w:tc>
        <w:tc>
          <w:tcPr>
            <w:tcW w:type="dxa" w:w="1900"/>
            <w:tcMar>
              <w:top w:w="80" w:type="dxa"/>
              <w:start w:w="120" w:type="dxa"/>
              <w:bottom w:w="80" w:type="dxa"/>
              <w:end w:w="120" w:type="dxa"/>
            </w:tcMar>
            <w:vAlign w:val="center"/>
          </w:tcPr>
          <w:p>
            <w:pPr>
              <w:spacing w:before="0" w:after="0" w:line="252" w:lineRule="auto"/>
              <w:jc w:val="left"/>
            </w:pPr>
            <w:r>
              <w:rPr>
                <w:rFonts w:ascii="Calibri" w:hAnsi="Calibri"/>
                <w:b w:val="0"/>
                <w:sz w:val="18"/>
              </w:rPr>
              <w:t>5,533</w:t>
            </w:r>
          </w:p>
        </w:tc>
        <w:tc>
          <w:tcPr>
            <w:tcW w:type="dxa" w:w="4960"/>
            <w:tcMar>
              <w:top w:w="80" w:type="dxa"/>
              <w:start w:w="120" w:type="dxa"/>
              <w:bottom w:w="80" w:type="dxa"/>
              <w:end w:w="120" w:type="dxa"/>
            </w:tcMar>
            <w:vAlign w:val="center"/>
          </w:tcPr>
          <w:p>
            <w:pPr>
              <w:spacing w:before="0" w:after="0" w:line="252" w:lineRule="auto"/>
              <w:jc w:val="left"/>
            </w:pPr>
            <w:r>
              <w:rPr>
                <w:rFonts w:ascii="Calibri" w:hAnsi="Calibri"/>
                <w:b w:val="0"/>
                <w:sz w:val="18"/>
              </w:rPr>
              <w:t>Quantitative content requiring aligned units, periods, and roles</w:t>
            </w:r>
          </w:p>
        </w:tc>
      </w:tr>
      <w:tr>
        <w:tc>
          <w:tcPr>
            <w:tcW w:type="dxa" w:w="2500"/>
            <w:tcMar>
              <w:top w:w="80" w:type="dxa"/>
              <w:start w:w="120" w:type="dxa"/>
              <w:bottom w:w="80" w:type="dxa"/>
              <w:end w:w="120" w:type="dxa"/>
            </w:tcMar>
            <w:vAlign w:val="center"/>
          </w:tcPr>
          <w:p>
            <w:pPr>
              <w:spacing w:before="0" w:after="0" w:line="252" w:lineRule="auto"/>
            </w:pPr>
            <w:r>
              <w:rPr>
                <w:rFonts w:ascii="Calibri" w:hAnsi="Calibri"/>
                <w:b w:val="0"/>
                <w:sz w:val="18"/>
              </w:rPr>
              <w:t>Exclude from report</w:t>
            </w:r>
          </w:p>
        </w:tc>
        <w:tc>
          <w:tcPr>
            <w:tcW w:type="dxa" w:w="1900"/>
            <w:tcMar>
              <w:top w:w="80" w:type="dxa"/>
              <w:start w:w="120" w:type="dxa"/>
              <w:bottom w:w="80" w:type="dxa"/>
              <w:end w:w="120" w:type="dxa"/>
            </w:tcMar>
            <w:vAlign w:val="center"/>
          </w:tcPr>
          <w:p>
            <w:pPr>
              <w:spacing w:before="0" w:after="0" w:line="252" w:lineRule="auto"/>
              <w:jc w:val="left"/>
            </w:pPr>
            <w:r>
              <w:rPr>
                <w:rFonts w:ascii="Calibri" w:hAnsi="Calibri"/>
                <w:b w:val="0"/>
                <w:sz w:val="18"/>
              </w:rPr>
              <w:t>5,161</w:t>
            </w:r>
          </w:p>
        </w:tc>
        <w:tc>
          <w:tcPr>
            <w:tcW w:type="dxa" w:w="4960"/>
            <w:tcMar>
              <w:top w:w="80" w:type="dxa"/>
              <w:start w:w="120" w:type="dxa"/>
              <w:bottom w:w="80" w:type="dxa"/>
              <w:end w:w="120" w:type="dxa"/>
            </w:tcMar>
            <w:vAlign w:val="center"/>
          </w:tcPr>
          <w:p>
            <w:pPr>
              <w:spacing w:before="0" w:after="0" w:line="252" w:lineRule="auto"/>
              <w:jc w:val="left"/>
            </w:pPr>
            <w:r>
              <w:rPr>
                <w:rFonts w:ascii="Calibri" w:hAnsi="Calibri"/>
                <w:b w:val="0"/>
                <w:sz w:val="18"/>
              </w:rPr>
              <w:t>Weak, unsupported, navigation-only, or otherwise non-claim-ready</w:t>
            </w:r>
          </w:p>
        </w:tc>
      </w:tr>
    </w:tbl>
    <w:p/>
    <w:p>
      <w:r>
        <w:t>The mechanism counts are counts within the processed rated corpus, not prevalence estimates. Non-base compensation is the largest rated signal at 3,718, followed by direct base-wage values at 2,687, implementation or retroactivity at 2,230, automatic raises at 1,431, bargaining-power signals at 1,135, rank or specialization premiums at 763, strike/no-strike constraints at 587, market or comparability pressure at 398, safety-advantage signals at 192, and fiscal-constraint signals at 188.</w:t>
      </w:r>
    </w:p>
    <w:p>
      <w:r>
        <w:t>Rated strength provides a second dimension. On the project's 0-4 scale, rank/step/specialization/classification evidence has the highest cluster average among the principal findings reported here (2.427; median 2.0), followed by implementation/timing (1.853; median 2.0) and non-base compensation (1.646; median 1.0). Automatic wage-growth evidence averages 1.377 (median 1.0), bargaining and dispute-resolution evidence 1.285 (median 1.0), and market/staffing pressure 1.374 (median 1.0). These scores summarize the rated specificity and support of individual spans; they do not measure effect magnitude.</w:t>
      </w:r>
    </w:p>
    <w:p>
      <w:pPr>
        <w:pStyle w:val="Heading1"/>
      </w:pPr>
      <w:r>
        <w:t>4. Findings</w:t>
      </w:r>
    </w:p>
    <w:p>
      <w:pPr>
        <w:pStyle w:val="Heading2"/>
      </w:pPr>
      <w:r>
        <w:t>Finding 1. Non-base compensation is a major compensation channel</w:t>
      </w:r>
    </w:p>
    <w:p>
      <w:r>
        <w:t>Within the processed rated corpus, non-base compensation appears as a substantial channel through which compensation can grow even when base schedules move modestly. The 3,718 non-base signals cover longevity pay, shift differentials, hazard and specialty pay, certification and education incentives, stipends, allowances, and overtime-related premiums. These provisions matter empirically because they can raise realized compensation without changing the headline base-wage line used in a conventional schedule comparison.</w:t>
      </w:r>
    </w:p>
    <w:p>
      <w:r>
        <w:t>The source-specific examples make the measurement problem concrete. A Bath, Ohio, record identifies a one-time or lump-sum police payment of $1,200 for 2021; a Saybrook, Ohio, record identifies a $300 fire stipend or allowance for 2019; and a Franklin, Michigan, record identifies a $3,500 police stipend or allowance for 2018. Each example documents a compensation component that should remain distinct from recurring base pay. The evidence does not establish that these components are unique to safety workers, nor does it yet produce a total-compensation difference. It does establish that an analysis limited to base salary would omit material compensation channels present in the source record.</w:t>
      </w:r>
    </w:p>
    <w:p>
      <w:pPr>
        <w:pStyle w:val="Heading2"/>
      </w:pPr>
      <w:r>
        <w:t>Finding 2. Direct wage schedules are abundant, but comparison requires normalization</w:t>
      </w:r>
    </w:p>
    <w:p>
      <w:r>
        <w:t>Direct wage and salary values are one of the largest quantitative resources in the corpus. They appear in hourly and annual schedules, grade and pay-band tables, rank ladders, step plans, ordinances, budgets, and negotiated agreements. The 2,687 base-wage direct-value signals and 11,548 quantitative records provide a substantial raw basis for later comparison.</w:t>
      </w:r>
    </w:p>
    <w:p>
      <w:r>
        <w:t>Their abundance should not be confused with immediate comparability. A listed hourly police rate may refer to an entry step, a maximum, a part-time position, a chief outside the bargaining unit, or a premium rather than base pay. An annual general-employee salary may embed a different work year or classification level. The normalization exercise therefore preserves source-reported values while adding pay basis, effective period, unit, occupation, rank, step, grade, and base/non-base fields. Only 672 records initially met full normalization requirements; the rescue added 11 fully normalized records and identified 185 near-gap-ready records. This is meaningful progress toward a comparison layer, but it is not authorization to report a corpus-wide wage difference.</w:t>
      </w:r>
    </w:p>
    <w:p>
      <w:pPr>
        <w:pStyle w:val="Heading2"/>
      </w:pPr>
      <w:r>
        <w:t>Finding 3. Implementation timing and retroactivity affect realized gains</w:t>
      </w:r>
    </w:p>
    <w:p>
      <w:r>
        <w:t>Timing is a substantive mechanism, not merely an administrative detail. The rated corpus contains 2,230 implementation or retroactivity signals. These spans refer to effective dates, delayed implementation, settlement timing, retroactive wage adjustments, and lump-sum or catch-up payments. A delayed agreement can shift compensation into a later fiscal period; a retroactive provision can deliver a material payment after the nominal effective date; and two agreements with the same stated annual percentage can yield different near-term cash flows.</w:t>
      </w:r>
    </w:p>
    <w:p>
      <w:r>
        <w:t>The evidence therefore supports a careful mechanism claim: implementation and retroactivity can shape when negotiated gains are realized within the documented unit and cycle. It does not yet support a comparative statement that one occupation systematically realizes gains earlier or receives larger retroactive awards. That inference requires matched unit-cycle timing fields and a consistent treatment of lump-sum versus recurring pay.</w:t>
      </w:r>
    </w:p>
    <w:p>
      <w:pPr>
        <w:pStyle w:val="Heading2"/>
      </w:pPr>
      <w:r>
        <w:t>Finding 4. Automatic wage-growth mechanisms recur in the documentary record</w:t>
      </w:r>
    </w:p>
    <w:p>
      <w:r>
        <w:t>Automatic wage growth appears in several distinguishable forms: across-the-board percentage increases, COLA or CPI-linked adjustments, scheduled raises, and step progression. The rescue identified 416 records with quantitative growth mechanisms—336 percentage increases, 49 COLA/CPI adjustments, 29 step-schedule increases, and 2 retroactive or lump-sum mechanisms. Ninety-five of those records were promoted into source-specific quantitative growth claim candidates.</w:t>
      </w:r>
    </w:p>
    <w:p>
      <w:r>
        <w:t>Selected examples illustrate the range without implying prevalence. Howland, Ohio, documents a 2% police raise for 2021; Coleraine, Minnesota, documents a 5% police raise for 2024; Sunrise Beach, Missouri, documents a 1.5% police COLA/CPI mechanism for 2024; Phippsburg, Maine, documents a 3.2% police COLA/CPI mechanism for 2023; Bath, Ohio, documents a 2.25% police step-schedule mechanism for 2021; and Tonka Bay, Minnesota, documents a 2.75% police step-schedule mechanism for 2020. These are source-reported values tied to named records. They support quantitatively specific mechanism statements, not analyst-computed growth rates or a statement about how widely any mechanism is used.</w:t>
      </w:r>
    </w:p>
    <w:p>
      <w:r>
        <w:t>COLA/CPI language requires a particularly clear boundary. Here it is treated as a contractual rule that can change nominal wages. The report does not apply an analyst-side cost-of-living adjustment, convert nominal wages into real wages, or compare local purchasing power.</w:t>
      </w:r>
    </w:p>
    <w:p>
      <w:pPr>
        <w:pStyle w:val="Heading2"/>
      </w:pPr>
      <w:r>
        <w:t>Finding 5. Bargaining and dispute resolution are plausible institutional mechanisms</w:t>
      </w:r>
    </w:p>
    <w:p>
      <w:r>
        <w:t>Among valid rated spans, 1,135 carry bargaining-power signals and 587 concern strike or no-strike constraints. Bargaining agreements, arbitration awards, factfinding materials, settlement records, and related documents describe procedures through which wage terms are proposed, contested, resolved, and implemented. The evidence supports describing collective bargaining, interest arbitration, factfinding, negotiated settlement, and work-stoppage constraints as plausible institutional channels in some municipal compensation records.</w:t>
      </w:r>
    </w:p>
    <w:p>
      <w:r>
        <w:t>The key distinction is between mechanism presence and effect. An arbitration or factfinding clause can structure the bargaining process without demonstrating that it raised wages. Ordinary grievance arbitration also should not be conflated with interest arbitration over unresolved contract terms. The current corpus documents these institutional channels, but it does not identify a counterfactual wage outcome or establish that a particular procedure produced a safety advantage.</w:t>
      </w:r>
    </w:p>
    <w:p>
      <w:pPr>
        <w:pStyle w:val="Heading2"/>
      </w:pPr>
      <w:r>
        <w:t>Finding 6. Rank, step, specialization, and classification structures shape progression</w:t>
      </w:r>
    </w:p>
    <w:p>
      <w:r>
        <w:t>Rank, step, grade, specialization, and classification signals number 763 and have relatively strong rated specificity (average 2.427; median 2.0). These structures create predictable internal wage paths: employees can move through scheduled steps, receive rank premiums, enter new grades, or qualify for specialty compensation. They also complicate cross-occupation comparisons because a police officer at an entry step is not automatically comparable to a non-safety employee at an unlabeled or maximum rate.</w:t>
      </w:r>
    </w:p>
    <w:p>
      <w:r>
        <w:t>This point is visible in the Canastota example discussed below. The police record is explicitly a Year 1 step, while the Code Enforcement Officer line reports a single rate without comparable tenure or step information. The local schedule values are real and source-grounded, but the ranking structure prevents an unqualified wage comparison. Matching must therefore occur at the position and schedule-location level, not only at municipality and year.</w:t>
      </w:r>
    </w:p>
    <w:p>
      <w:pPr>
        <w:pStyle w:val="Heading2"/>
      </w:pPr>
      <w:r>
        <w:t>Finding 7. Market and staffing pressure appear as compensation justifications</w:t>
      </w:r>
    </w:p>
    <w:p>
      <w:r>
        <w:t>Market comparability, recruitment, retention, staffing shortages, and competing-jurisdiction language appear in 398 rated market/comparability signals. Records from places such as Bernards and Greenwich, New Jersey, and Brewster, Massachusetts, invoke these considerations as stated justifications for compensation review or change. Such language supplies a plausible explanation for why a municipality considers revising pay: it is responding, at least rhetorically or administratively, to outside wage benchmarks or difficulty attracting and retaining personnel.</w:t>
      </w:r>
    </w:p>
    <w:p>
      <w:r>
        <w:t>The evidence does not show that invoking comparability actually produced a particular wage increase, nor that the stated pressure was objectively severe. It does show that market and staffing considerations belong in the mechanism taxonomy and should be linked to later matched wage outcomes where the city-cycle structure permits.</w:t>
      </w:r>
    </w:p>
    <w:p>
      <w:pPr>
        <w:pStyle w:val="Heading2"/>
      </w:pPr>
      <w:r>
        <w:t>Finding 8. Bounded local wage-differential evidence exists, but it is narrow</w:t>
      </w:r>
    </w:p>
    <w:p>
      <w:r>
        <w:t>Four local comparison candidates survived normalization rescue and source-grounded validation. Only Shreve is PI-usable as a supporting example without an additional legal-status question; the remaining three require heavy, candidate-specific qualifications. The values below are current source-grounded comparisons on the normalized basis shown. They are not final wage-gap estimates and are not nationally representative.</w:t>
      </w:r>
    </w:p>
    <w:tbl>
      <w:tblPr>
        <w:tblStyle w:val="TableGrid"/>
        <w:tblW w:type="dxa" w:w="9360"/>
        <w:jc w:val="left"/>
        <w:tblLayout w:type="fixed"/>
        <w:tblLook w:firstColumn="1" w:firstRow="1" w:lastColumn="0" w:lastRow="0" w:noHBand="0" w:noVBand="1" w:val="04A0"/>
        <w:tblInd w:w="120" w:type="dxa"/>
      </w:tblPr>
      <w:tblGrid>
        <w:gridCol w:w="1450"/>
        <w:gridCol w:w="1800"/>
        <w:gridCol w:w="1800"/>
        <w:gridCol w:w="1300"/>
        <w:gridCol w:w="1200"/>
        <w:gridCol w:w="1810"/>
      </w:tblGrid>
      <w:tr>
        <w:tc>
          <w:tcPr>
            <w:tcW w:type="dxa" w:w="1450"/>
            <w:tcMar>
              <w:top w:w="80" w:type="dxa"/>
              <w:start w:w="120" w:type="dxa"/>
              <w:bottom w:w="80" w:type="dxa"/>
              <w:end w:w="120" w:type="dxa"/>
            </w:tcMar>
            <w:vAlign w:val="center"/>
            <w:shd w:fill="F2F4F7"/>
          </w:tcPr>
          <w:p>
            <w:pPr>
              <w:spacing w:before="0" w:after="0" w:line="252" w:lineRule="auto"/>
            </w:pPr>
            <w:r>
              <w:rPr>
                <w:rFonts w:ascii="Calibri" w:hAnsi="Calibri"/>
                <w:b/>
                <w:sz w:val="16"/>
              </w:rPr>
              <w:t>Municipality / period</w:t>
            </w:r>
          </w:p>
        </w:tc>
        <w:tc>
          <w:tcPr>
            <w:tcW w:type="dxa" w:w="1800"/>
            <w:tcMar>
              <w:top w:w="80" w:type="dxa"/>
              <w:start w:w="120" w:type="dxa"/>
              <w:bottom w:w="80" w:type="dxa"/>
              <w:end w:w="120" w:type="dxa"/>
            </w:tcMar>
            <w:vAlign w:val="center"/>
            <w:shd w:fill="F2F4F7"/>
          </w:tcPr>
          <w:p>
            <w:pPr>
              <w:spacing w:before="0" w:after="0" w:line="252" w:lineRule="auto"/>
            </w:pPr>
            <w:r>
              <w:rPr>
                <w:rFonts w:ascii="Calibri" w:hAnsi="Calibri"/>
                <w:b/>
                <w:sz w:val="16"/>
              </w:rPr>
              <w:t>Safety-side value</w:t>
            </w:r>
          </w:p>
        </w:tc>
        <w:tc>
          <w:tcPr>
            <w:tcW w:type="dxa" w:w="1800"/>
            <w:tcMar>
              <w:top w:w="80" w:type="dxa"/>
              <w:start w:w="120" w:type="dxa"/>
              <w:bottom w:w="80" w:type="dxa"/>
              <w:end w:w="120" w:type="dxa"/>
            </w:tcMar>
            <w:vAlign w:val="center"/>
            <w:shd w:fill="F2F4F7"/>
          </w:tcPr>
          <w:p>
            <w:pPr>
              <w:spacing w:before="0" w:after="0" w:line="252" w:lineRule="auto"/>
            </w:pPr>
            <w:r>
              <w:rPr>
                <w:rFonts w:ascii="Calibri" w:hAnsi="Calibri"/>
                <w:b/>
                <w:sz w:val="16"/>
              </w:rPr>
              <w:t>Non-safety-side value</w:t>
            </w:r>
          </w:p>
        </w:tc>
        <w:tc>
          <w:tcPr>
            <w:tcW w:type="dxa" w:w="1300"/>
            <w:tcMar>
              <w:top w:w="80" w:type="dxa"/>
              <w:start w:w="120" w:type="dxa"/>
              <w:bottom w:w="80" w:type="dxa"/>
              <w:end w:w="120" w:type="dxa"/>
            </w:tcMar>
            <w:vAlign w:val="center"/>
            <w:shd w:fill="F2F4F7"/>
          </w:tcPr>
          <w:p>
            <w:pPr>
              <w:spacing w:before="0" w:after="0" w:line="252" w:lineRule="auto"/>
            </w:pPr>
            <w:r>
              <w:rPr>
                <w:rFonts w:ascii="Calibri" w:hAnsi="Calibri"/>
                <w:b/>
                <w:sz w:val="16"/>
              </w:rPr>
              <w:t>Difference</w:t>
            </w:r>
          </w:p>
        </w:tc>
        <w:tc>
          <w:tcPr>
            <w:tcW w:type="dxa" w:w="1200"/>
            <w:tcMar>
              <w:top w:w="80" w:type="dxa"/>
              <w:start w:w="120" w:type="dxa"/>
              <w:bottom w:w="80" w:type="dxa"/>
              <w:end w:w="120" w:type="dxa"/>
            </w:tcMar>
            <w:vAlign w:val="center"/>
            <w:shd w:fill="F2F4F7"/>
          </w:tcPr>
          <w:p>
            <w:pPr>
              <w:spacing w:before="0" w:after="0" w:line="252" w:lineRule="auto"/>
            </w:pPr>
            <w:r>
              <w:rPr>
                <w:rFonts w:ascii="Calibri" w:hAnsi="Calibri"/>
                <w:b/>
                <w:sz w:val="16"/>
              </w:rPr>
              <w:t>Status</w:t>
            </w:r>
          </w:p>
        </w:tc>
        <w:tc>
          <w:tcPr>
            <w:tcW w:type="dxa" w:w="1810"/>
            <w:tcMar>
              <w:top w:w="80" w:type="dxa"/>
              <w:start w:w="120" w:type="dxa"/>
              <w:bottom w:w="80" w:type="dxa"/>
              <w:end w:w="120" w:type="dxa"/>
            </w:tcMar>
            <w:vAlign w:val="center"/>
            <w:shd w:fill="F2F4F7"/>
          </w:tcPr>
          <w:p>
            <w:pPr>
              <w:spacing w:before="0" w:after="0" w:line="252" w:lineRule="auto"/>
            </w:pPr>
            <w:r>
              <w:rPr>
                <w:rFonts w:ascii="Calibri" w:hAnsi="Calibri"/>
                <w:b/>
                <w:sz w:val="16"/>
              </w:rPr>
              <w:t>Principal caveat</w:t>
            </w:r>
          </w:p>
        </w:tc>
      </w:tr>
      <w:tr>
        <w:tc>
          <w:tcPr>
            <w:tcW w:type="dxa" w:w="1450"/>
            <w:tcMar>
              <w:top w:w="80" w:type="dxa"/>
              <w:start w:w="120" w:type="dxa"/>
              <w:bottom w:w="80" w:type="dxa"/>
              <w:end w:w="120" w:type="dxa"/>
            </w:tcMar>
            <w:vAlign w:val="center"/>
          </w:tcPr>
          <w:p>
            <w:pPr>
              <w:spacing w:before="0" w:after="0" w:line="252" w:lineRule="auto"/>
            </w:pPr>
            <w:r>
              <w:rPr>
                <w:rFonts w:ascii="Calibri" w:hAnsi="Calibri"/>
                <w:b w:val="0"/>
                <w:sz w:val="16"/>
              </w:rPr>
              <w:t>Shreve, OH / 2024</w:t>
            </w:r>
          </w:p>
        </w:tc>
        <w:tc>
          <w:tcPr>
            <w:tcW w:type="dxa" w:w="1800"/>
            <w:tcMar>
              <w:top w:w="80" w:type="dxa"/>
              <w:start w:w="120" w:type="dxa"/>
              <w:bottom w:w="80" w:type="dxa"/>
              <w:end w:w="120" w:type="dxa"/>
            </w:tcMar>
            <w:vAlign w:val="center"/>
          </w:tcPr>
          <w:p>
            <w:pPr>
              <w:spacing w:before="0" w:after="0" w:line="252" w:lineRule="auto"/>
            </w:pPr>
            <w:r>
              <w:rPr>
                <w:rFonts w:ascii="Calibri" w:hAnsi="Calibri"/>
                <w:b w:val="0"/>
                <w:sz w:val="16"/>
              </w:rPr>
              <w:t>Part-time police: $22.00/hour</w:t>
            </w:r>
          </w:p>
        </w:tc>
        <w:tc>
          <w:tcPr>
            <w:tcW w:type="dxa" w:w="1800"/>
            <w:tcMar>
              <w:top w:w="80" w:type="dxa"/>
              <w:start w:w="120" w:type="dxa"/>
              <w:bottom w:w="80" w:type="dxa"/>
              <w:end w:w="120" w:type="dxa"/>
            </w:tcMar>
            <w:vAlign w:val="center"/>
          </w:tcPr>
          <w:p>
            <w:pPr>
              <w:spacing w:before="0" w:after="0" w:line="252" w:lineRule="auto"/>
            </w:pPr>
            <w:r>
              <w:rPr>
                <w:rFonts w:ascii="Calibri" w:hAnsi="Calibri"/>
                <w:b w:val="0"/>
                <w:sz w:val="16"/>
              </w:rPr>
              <w:t>Part-time utility clerk: $16.00/hour</w:t>
            </w:r>
          </w:p>
        </w:tc>
        <w:tc>
          <w:tcPr>
            <w:tcW w:type="dxa" w:w="1300"/>
            <w:tcMar>
              <w:top w:w="80" w:type="dxa"/>
              <w:start w:w="120" w:type="dxa"/>
              <w:bottom w:w="80" w:type="dxa"/>
              <w:end w:w="120" w:type="dxa"/>
            </w:tcMar>
            <w:vAlign w:val="center"/>
          </w:tcPr>
          <w:p>
            <w:pPr>
              <w:spacing w:before="0" w:after="0" w:line="252" w:lineRule="auto"/>
            </w:pPr>
            <w:r>
              <w:rPr>
                <w:rFonts w:ascii="Calibri" w:hAnsi="Calibri"/>
                <w:b w:val="0"/>
                <w:sz w:val="16"/>
              </w:rPr>
              <w:t>+$6.00/hour; +37.5%</w:t>
            </w:r>
          </w:p>
        </w:tc>
        <w:tc>
          <w:tcPr>
            <w:tcW w:type="dxa" w:w="1200"/>
            <w:tcMar>
              <w:top w:w="80" w:type="dxa"/>
              <w:start w:w="120" w:type="dxa"/>
              <w:bottom w:w="80" w:type="dxa"/>
              <w:end w:w="120" w:type="dxa"/>
            </w:tcMar>
            <w:vAlign w:val="center"/>
          </w:tcPr>
          <w:p>
            <w:pPr>
              <w:spacing w:before="0" w:after="0" w:line="252" w:lineRule="auto"/>
            </w:pPr>
            <w:r>
              <w:rPr>
                <w:rFonts w:ascii="Calibri" w:hAnsi="Calibri"/>
                <w:b w:val="0"/>
                <w:sz w:val="16"/>
              </w:rPr>
              <w:t>PI-usable supporting example</w:t>
            </w:r>
          </w:p>
        </w:tc>
        <w:tc>
          <w:tcPr>
            <w:tcW w:type="dxa" w:w="1810"/>
            <w:tcMar>
              <w:top w:w="80" w:type="dxa"/>
              <w:start w:w="120" w:type="dxa"/>
              <w:bottom w:w="80" w:type="dxa"/>
              <w:end w:w="120" w:type="dxa"/>
            </w:tcMar>
            <w:vAlign w:val="center"/>
          </w:tcPr>
          <w:p>
            <w:pPr>
              <w:spacing w:before="0" w:after="0" w:line="252" w:lineRule="auto"/>
            </w:pPr>
            <w:r>
              <w:rPr>
                <w:rFonts w:ascii="Calibri" w:hAnsi="Calibri"/>
                <w:b w:val="0"/>
                <w:sz w:val="16"/>
              </w:rPr>
              <w:t>Duties, experience, schedules, and job requirements are not matched</w:t>
            </w:r>
          </w:p>
        </w:tc>
      </w:tr>
      <w:tr>
        <w:tc>
          <w:tcPr>
            <w:tcW w:type="dxa" w:w="1450"/>
            <w:tcMar>
              <w:top w:w="80" w:type="dxa"/>
              <w:start w:w="120" w:type="dxa"/>
              <w:bottom w:w="80" w:type="dxa"/>
              <w:end w:w="120" w:type="dxa"/>
            </w:tcMar>
            <w:vAlign w:val="center"/>
          </w:tcPr>
          <w:p>
            <w:pPr>
              <w:spacing w:before="0" w:after="0" w:line="252" w:lineRule="auto"/>
            </w:pPr>
            <w:r>
              <w:rPr>
                <w:rFonts w:ascii="Calibri" w:hAnsi="Calibri"/>
                <w:b w:val="0"/>
                <w:sz w:val="16"/>
              </w:rPr>
              <w:t>Cammack Village, AR / 2024</w:t>
            </w:r>
          </w:p>
        </w:tc>
        <w:tc>
          <w:tcPr>
            <w:tcW w:type="dxa" w:w="1800"/>
            <w:tcMar>
              <w:top w:w="80" w:type="dxa"/>
              <w:start w:w="120" w:type="dxa"/>
              <w:bottom w:w="80" w:type="dxa"/>
              <w:end w:w="120" w:type="dxa"/>
            </w:tcMar>
            <w:vAlign w:val="center"/>
          </w:tcPr>
          <w:p>
            <w:pPr>
              <w:spacing w:before="0" w:after="0" w:line="252" w:lineRule="auto"/>
            </w:pPr>
            <w:r>
              <w:rPr>
                <w:rFonts w:ascii="Calibri" w:hAnsi="Calibri"/>
                <w:b w:val="0"/>
                <w:sz w:val="16"/>
              </w:rPr>
              <w:t>Part-time patrolman maximum: $25.00/hour</w:t>
            </w:r>
          </w:p>
        </w:tc>
        <w:tc>
          <w:tcPr>
            <w:tcW w:type="dxa" w:w="1800"/>
            <w:tcMar>
              <w:top w:w="80" w:type="dxa"/>
              <w:start w:w="120" w:type="dxa"/>
              <w:bottom w:w="80" w:type="dxa"/>
              <w:end w:w="120" w:type="dxa"/>
            </w:tcMar>
            <w:vAlign w:val="center"/>
          </w:tcPr>
          <w:p>
            <w:pPr>
              <w:spacing w:before="0" w:after="0" w:line="252" w:lineRule="auto"/>
            </w:pPr>
            <w:r>
              <w:rPr>
                <w:rFonts w:ascii="Calibri" w:hAnsi="Calibri"/>
                <w:b w:val="0"/>
                <w:sz w:val="16"/>
              </w:rPr>
              <w:t>Administrative assistant maximum: $20.00/hour</w:t>
            </w:r>
          </w:p>
        </w:tc>
        <w:tc>
          <w:tcPr>
            <w:tcW w:type="dxa" w:w="1300"/>
            <w:tcMar>
              <w:top w:w="80" w:type="dxa"/>
              <w:start w:w="120" w:type="dxa"/>
              <w:bottom w:w="80" w:type="dxa"/>
              <w:end w:w="120" w:type="dxa"/>
            </w:tcMar>
            <w:vAlign w:val="center"/>
          </w:tcPr>
          <w:p>
            <w:pPr>
              <w:spacing w:before="0" w:after="0" w:line="252" w:lineRule="auto"/>
            </w:pPr>
            <w:r>
              <w:rPr>
                <w:rFonts w:ascii="Calibri" w:hAnsi="Calibri"/>
                <w:b w:val="0"/>
                <w:sz w:val="16"/>
              </w:rPr>
              <w:t>+$5.00/hour; +25.0%</w:t>
            </w:r>
          </w:p>
        </w:tc>
        <w:tc>
          <w:tcPr>
            <w:tcW w:type="dxa" w:w="1200"/>
            <w:tcMar>
              <w:top w:w="80" w:type="dxa"/>
              <w:start w:w="120" w:type="dxa"/>
              <w:bottom w:w="80" w:type="dxa"/>
              <w:end w:w="120" w:type="dxa"/>
            </w:tcMar>
            <w:vAlign w:val="center"/>
          </w:tcPr>
          <w:p>
            <w:pPr>
              <w:spacing w:before="0" w:after="0" w:line="252" w:lineRule="auto"/>
            </w:pPr>
            <w:r>
              <w:rPr>
                <w:rFonts w:ascii="Calibri" w:hAnsi="Calibri"/>
                <w:b w:val="0"/>
                <w:sz w:val="16"/>
              </w:rPr>
              <w:t>Conditional/manual review</w:t>
            </w:r>
          </w:p>
        </w:tc>
        <w:tc>
          <w:tcPr>
            <w:tcW w:type="dxa" w:w="1810"/>
            <w:tcMar>
              <w:top w:w="80" w:type="dxa"/>
              <w:start w:w="120" w:type="dxa"/>
              <w:bottom w:w="80" w:type="dxa"/>
              <w:end w:w="120" w:type="dxa"/>
            </w:tcMar>
            <w:vAlign w:val="center"/>
          </w:tcPr>
          <w:p>
            <w:pPr>
              <w:spacing w:before="0" w:after="0" w:line="252" w:lineRule="auto"/>
            </w:pPr>
            <w:r>
              <w:rPr>
                <w:rFonts w:ascii="Calibri" w:hAnsi="Calibri"/>
                <w:b w:val="0"/>
                <w:sz w:val="16"/>
              </w:rPr>
              <w:t>Authorized maxima, not confirmed actual pay; enactment fields need review</w:t>
            </w:r>
          </w:p>
        </w:tc>
      </w:tr>
      <w:tr>
        <w:tc>
          <w:tcPr>
            <w:tcW w:type="dxa" w:w="1450"/>
            <w:tcMar>
              <w:top w:w="80" w:type="dxa"/>
              <w:start w:w="120" w:type="dxa"/>
              <w:bottom w:w="80" w:type="dxa"/>
              <w:end w:w="120" w:type="dxa"/>
            </w:tcMar>
            <w:vAlign w:val="center"/>
          </w:tcPr>
          <w:p>
            <w:pPr>
              <w:spacing w:before="0" w:after="0" w:line="252" w:lineRule="auto"/>
            </w:pPr>
            <w:r>
              <w:rPr>
                <w:rFonts w:ascii="Calibri" w:hAnsi="Calibri"/>
                <w:b w:val="0"/>
                <w:sz w:val="16"/>
              </w:rPr>
              <w:t>Canastota, NY / 2023-2024</w:t>
            </w:r>
          </w:p>
        </w:tc>
        <w:tc>
          <w:tcPr>
            <w:tcW w:type="dxa" w:w="1800"/>
            <w:tcMar>
              <w:top w:w="80" w:type="dxa"/>
              <w:start w:w="120" w:type="dxa"/>
              <w:bottom w:w="80" w:type="dxa"/>
              <w:end w:w="120" w:type="dxa"/>
            </w:tcMar>
            <w:vAlign w:val="center"/>
          </w:tcPr>
          <w:p>
            <w:pPr>
              <w:spacing w:before="0" w:after="0" w:line="252" w:lineRule="auto"/>
            </w:pPr>
            <w:r>
              <w:rPr>
                <w:rFonts w:ascii="Calibri" w:hAnsi="Calibri"/>
                <w:b w:val="0"/>
                <w:sz w:val="16"/>
              </w:rPr>
              <w:t>Police Officer Year 1: $23.91/hour</w:t>
            </w:r>
          </w:p>
        </w:tc>
        <w:tc>
          <w:tcPr>
            <w:tcW w:type="dxa" w:w="1800"/>
            <w:tcMar>
              <w:top w:w="80" w:type="dxa"/>
              <w:start w:w="120" w:type="dxa"/>
              <w:bottom w:w="80" w:type="dxa"/>
              <w:end w:w="120" w:type="dxa"/>
            </w:tcMar>
            <w:vAlign w:val="center"/>
          </w:tcPr>
          <w:p>
            <w:pPr>
              <w:spacing w:before="0" w:after="0" w:line="252" w:lineRule="auto"/>
            </w:pPr>
            <w:r>
              <w:rPr>
                <w:rFonts w:ascii="Calibri" w:hAnsi="Calibri"/>
                <w:b w:val="0"/>
                <w:sz w:val="16"/>
              </w:rPr>
              <w:t>Code Enforcement Officer: $24.82/hour</w:t>
            </w:r>
          </w:p>
        </w:tc>
        <w:tc>
          <w:tcPr>
            <w:tcW w:type="dxa" w:w="1300"/>
            <w:tcMar>
              <w:top w:w="80" w:type="dxa"/>
              <w:start w:w="120" w:type="dxa"/>
              <w:bottom w:w="80" w:type="dxa"/>
              <w:end w:w="120" w:type="dxa"/>
            </w:tcMar>
            <w:vAlign w:val="center"/>
          </w:tcPr>
          <w:p>
            <w:pPr>
              <w:spacing w:before="0" w:after="0" w:line="252" w:lineRule="auto"/>
            </w:pPr>
            <w:r>
              <w:rPr>
                <w:rFonts w:ascii="Calibri" w:hAnsi="Calibri"/>
                <w:b w:val="0"/>
                <w:sz w:val="16"/>
              </w:rPr>
              <w:t>-$0.91/hour; -3.67%</w:t>
            </w:r>
          </w:p>
        </w:tc>
        <w:tc>
          <w:tcPr>
            <w:tcW w:type="dxa" w:w="1200"/>
            <w:tcMar>
              <w:top w:w="80" w:type="dxa"/>
              <w:start w:w="120" w:type="dxa"/>
              <w:bottom w:w="80" w:type="dxa"/>
              <w:end w:w="120" w:type="dxa"/>
            </w:tcMar>
            <w:vAlign w:val="center"/>
          </w:tcPr>
          <w:p>
            <w:pPr>
              <w:spacing w:before="0" w:after="0" w:line="252" w:lineRule="auto"/>
            </w:pPr>
            <w:r>
              <w:rPr>
                <w:rFonts w:ascii="Calibri" w:hAnsi="Calibri"/>
                <w:b w:val="0"/>
                <w:sz w:val="16"/>
              </w:rPr>
              <w:t>Conditional/manual review</w:t>
            </w:r>
          </w:p>
        </w:tc>
        <w:tc>
          <w:tcPr>
            <w:tcW w:type="dxa" w:w="1810"/>
            <w:tcMar>
              <w:top w:w="80" w:type="dxa"/>
              <w:start w:w="120" w:type="dxa"/>
              <w:bottom w:w="80" w:type="dxa"/>
              <w:end w:w="120" w:type="dxa"/>
            </w:tcMar>
            <w:vAlign w:val="center"/>
          </w:tcPr>
          <w:p>
            <w:pPr>
              <w:spacing w:before="0" w:after="0" w:line="252" w:lineRule="auto"/>
            </w:pPr>
            <w:r>
              <w:rPr>
                <w:rFonts w:ascii="Calibri" w:hAnsi="Calibri"/>
                <w:b w:val="0"/>
                <w:sz w:val="16"/>
              </w:rPr>
              <w:t>Entry step is not tenure- or experience-equivalent to the single comparator rate</w:t>
            </w:r>
          </w:p>
        </w:tc>
      </w:tr>
      <w:tr>
        <w:tc>
          <w:tcPr>
            <w:tcW w:type="dxa" w:w="1450"/>
            <w:tcMar>
              <w:top w:w="80" w:type="dxa"/>
              <w:start w:w="120" w:type="dxa"/>
              <w:bottom w:w="80" w:type="dxa"/>
              <w:end w:w="120" w:type="dxa"/>
            </w:tcMar>
            <w:vAlign w:val="center"/>
          </w:tcPr>
          <w:p>
            <w:pPr>
              <w:spacing w:before="0" w:after="0" w:line="252" w:lineRule="auto"/>
            </w:pPr>
            <w:r>
              <w:rPr>
                <w:rFonts w:ascii="Calibri" w:hAnsi="Calibri"/>
                <w:b w:val="0"/>
                <w:sz w:val="16"/>
              </w:rPr>
              <w:t>Alburtis, PA / Jan-Jun 2018</w:t>
            </w:r>
          </w:p>
        </w:tc>
        <w:tc>
          <w:tcPr>
            <w:tcW w:type="dxa" w:w="1800"/>
            <w:tcMar>
              <w:top w:w="80" w:type="dxa"/>
              <w:start w:w="120" w:type="dxa"/>
              <w:bottom w:w="80" w:type="dxa"/>
              <w:end w:w="120" w:type="dxa"/>
            </w:tcMar>
            <w:vAlign w:val="center"/>
          </w:tcPr>
          <w:p>
            <w:pPr>
              <w:spacing w:before="0" w:after="0" w:line="252" w:lineRule="auto"/>
            </w:pPr>
            <w:r>
              <w:rPr>
                <w:rFonts w:ascii="Calibri" w:hAnsi="Calibri"/>
                <w:b w:val="0"/>
                <w:sz w:val="16"/>
              </w:rPr>
              <w:t>Chief of Police: $33.57/hour</w:t>
            </w:r>
          </w:p>
        </w:tc>
        <w:tc>
          <w:tcPr>
            <w:tcW w:type="dxa" w:w="1800"/>
            <w:tcMar>
              <w:top w:w="80" w:type="dxa"/>
              <w:start w:w="120" w:type="dxa"/>
              <w:bottom w:w="80" w:type="dxa"/>
              <w:end w:w="120" w:type="dxa"/>
            </w:tcMar>
            <w:vAlign w:val="center"/>
          </w:tcPr>
          <w:p>
            <w:pPr>
              <w:spacing w:before="0" w:after="0" w:line="252" w:lineRule="auto"/>
            </w:pPr>
            <w:r>
              <w:rPr>
                <w:rFonts w:ascii="Calibri" w:hAnsi="Calibri"/>
                <w:b w:val="0"/>
                <w:sz w:val="16"/>
              </w:rPr>
              <w:t>Administrative Assistant: $11.22/hour</w:t>
            </w:r>
          </w:p>
        </w:tc>
        <w:tc>
          <w:tcPr>
            <w:tcW w:type="dxa" w:w="1300"/>
            <w:tcMar>
              <w:top w:w="80" w:type="dxa"/>
              <w:start w:w="120" w:type="dxa"/>
              <w:bottom w:w="80" w:type="dxa"/>
              <w:end w:w="120" w:type="dxa"/>
            </w:tcMar>
            <w:vAlign w:val="center"/>
          </w:tcPr>
          <w:p>
            <w:pPr>
              <w:spacing w:before="0" w:after="0" w:line="252" w:lineRule="auto"/>
            </w:pPr>
            <w:r>
              <w:rPr>
                <w:rFonts w:ascii="Calibri" w:hAnsi="Calibri"/>
                <w:b w:val="0"/>
                <w:sz w:val="16"/>
              </w:rPr>
              <w:t>+$22.35/hour; +199.2%</w:t>
            </w:r>
          </w:p>
        </w:tc>
        <w:tc>
          <w:tcPr>
            <w:tcW w:type="dxa" w:w="1200"/>
            <w:tcMar>
              <w:top w:w="80" w:type="dxa"/>
              <w:start w:w="120" w:type="dxa"/>
              <w:bottom w:w="80" w:type="dxa"/>
              <w:end w:w="120" w:type="dxa"/>
            </w:tcMar>
            <w:vAlign w:val="center"/>
          </w:tcPr>
          <w:p>
            <w:pPr>
              <w:spacing w:before="0" w:after="0" w:line="252" w:lineRule="auto"/>
            </w:pPr>
            <w:r>
              <w:rPr>
                <w:rFonts w:ascii="Calibri" w:hAnsi="Calibri"/>
                <w:b w:val="0"/>
                <w:sz w:val="16"/>
              </w:rPr>
              <w:t>Limits/appendix only</w:t>
            </w:r>
          </w:p>
        </w:tc>
        <w:tc>
          <w:tcPr>
            <w:tcW w:type="dxa" w:w="1810"/>
            <w:tcMar>
              <w:top w:w="80" w:type="dxa"/>
              <w:start w:w="120" w:type="dxa"/>
              <w:bottom w:w="80" w:type="dxa"/>
              <w:end w:w="120" w:type="dxa"/>
            </w:tcMar>
            <w:vAlign w:val="center"/>
          </w:tcPr>
          <w:p>
            <w:pPr>
              <w:spacing w:before="0" w:after="0" w:line="252" w:lineRule="auto"/>
            </w:pPr>
            <w:r>
              <w:rPr>
                <w:rFonts w:ascii="Calibri" w:hAnsi="Calibri"/>
                <w:b w:val="0"/>
                <w:sz w:val="16"/>
              </w:rPr>
              <w:t>Chief was outside the police bargaining unit; roles and schedule position are not comparable</w:t>
            </w:r>
          </w:p>
        </w:tc>
      </w:tr>
    </w:tbl>
    <w:p/>
    <w:p>
      <w:r>
        <w:t>Shreve supplies the cleanest bounded local documentary evidence: the same 2024 ordinance lists hourly rates for part-time police officers and a part-time utility clerk, with the police-side value $6.00 per hour, or 37.5%, above the clerk rate. This is a named-position comparison, not an occupation-wide estimate. Cammack Village compares authorized maximum rates rather than demonstrated actual wages, and the retained packet requires enactment confirmation. Canastota points in the opposite direction for the two listed schedule positions, with the Police Officer Year 1 rate $0.91 per hour below the Code Enforcement Officer rate; its lack of tenure and step equivalence makes it a useful caution against assuming a uniform direction. Alburtis illustrates the danger of role mismatch: its very large documentary difference compares a Chief outside the bargaining unit with an Administrative Assistant and belongs in an appendix or limits discussion.</w:t>
      </w:r>
    </w:p>
    <w:p>
      <w:pPr>
        <w:pStyle w:val="Heading2"/>
      </w:pPr>
      <w:r>
        <w:t>Finding 9. Directional evidence is present but uneven</w:t>
      </w:r>
    </w:p>
    <w:p>
      <w:r>
        <w:t>The rating layer contains 637 non-safety-advantage hints, 78 safety-advantage hints, and 45 gap-narrowing hints. Those counts sit beside 6,830 neutral/general ratings and 10,964 ratings for which direction is not applicable. The distribution does not support a one-direction summary of the corpus. It instead reinforces two points: much of the evidence describes mechanisms without comparing occupations, and the subset that does indicate direction includes countervailing signals.</w:t>
      </w:r>
    </w:p>
    <w:p>
      <w:r>
        <w:t>Directional hints can guide targeted matching and review, but they cannot substitute for matched wage records. The Canastota schedule is a concrete reminder that a local documentary comparison can point toward a non-safety advantage for the specific positions shown. Selective use of only safety-advantage examples would mischaracterize the present evidence.</w:t>
      </w:r>
    </w:p>
    <w:p>
      <w:pPr>
        <w:pStyle w:val="Heading2"/>
      </w:pPr>
      <w:r>
        <w:t>Finding 10. Matched city-cycle structures are emerging but still limited</w:t>
      </w:r>
    </w:p>
    <w:p>
      <w:r>
        <w:t>Normalization grouped evidence into 2,712 municipality-cycle structures and identified 65 candidate cycles with both safety and non-safety evidence. Within those groups, 303 record pairs may support a normalized wage comparison after review, and 141 candidate sequences may support cycle-to-cycle growth analysis. The rescue classified 15 additional structures as future-gap-potential only.</w:t>
      </w:r>
    </w:p>
    <w:p>
      <w:r>
        <w:t>These structures support a readiness claim: the project has moved beyond isolated document collection and can identify where same-city, overlapping-period, cross-occupation comparisons may be possible. They do not yet support a final cross-city wage-gap statistic. The next refinement must verify that paired records share a comparable pay basis, effective period, occupation level, rank or step, and base/non-base concept. The matched structure should remain the governing discipline: a safety record without a same-city, same-cycle non-safety comparator is not sufficient for the core empirical design.</w:t>
      </w:r>
    </w:p>
    <w:p>
      <w:pPr>
        <w:pStyle w:val="Heading1"/>
      </w:pPr>
      <w:r>
        <w:t>5. Limits</w:t>
      </w:r>
    </w:p>
    <w:p>
      <w:r>
        <w:t>The report's strongest claims are documentary and mechanism-oriented. Several boundaries remain firm.</w:t>
      </w:r>
    </w:p>
    <w:p>
      <w:pPr>
        <w:pStyle w:val="ListNumber"/>
      </w:pPr>
      <w:r/>
      <w:r>
        <w:rPr>
          <w:b/>
        </w:rPr>
        <w:t>No final wage-gap estimate.</w:t>
      </w:r>
      <w:r>
        <w:t xml:space="preserve"> The four local comparisons are bounded illustrations. Even Shreve requires final substantive review before analytic use.</w:t>
      </w:r>
    </w:p>
    <w:p>
      <w:pPr>
        <w:pStyle w:val="ListNumber"/>
      </w:pPr>
      <w:r/>
      <w:r>
        <w:rPr>
          <w:b/>
        </w:rPr>
        <w:t>No causal claim.</w:t>
      </w:r>
      <w:r>
        <w:t xml:space="preserve"> The corpus identifies contractual and institutional mechanisms but does not estimate counterfactual wage outcomes.</w:t>
      </w:r>
    </w:p>
    <w:p>
      <w:pPr>
        <w:pStyle w:val="ListNumber"/>
      </w:pPr>
      <w:r/>
      <w:r>
        <w:rPr>
          <w:b/>
        </w:rPr>
        <w:t>No national or population-prevalence claim.</w:t>
      </w:r>
      <w:r>
        <w:t xml:space="preserve"> The corpus is broad, but source discovery, public availability, reachability, retention, extraction, and rating filters prevent representative-sample interpretation.</w:t>
      </w:r>
    </w:p>
    <w:p>
      <w:pPr>
        <w:pStyle w:val="ListNumber"/>
      </w:pPr>
      <w:r/>
      <w:r>
        <w:rPr>
          <w:b/>
        </w:rPr>
        <w:t>No regression or treatment-effect result.</w:t>
      </w:r>
      <w:r>
        <w:t xml:space="preserve"> No such model was run for this report.</w:t>
      </w:r>
    </w:p>
    <w:p>
      <w:pPr>
        <w:pStyle w:val="ListNumber"/>
      </w:pPr>
      <w:r/>
      <w:r>
        <w:rPr>
          <w:b/>
        </w:rPr>
        <w:t>No analyst-side cost-of-living adjustment.</w:t>
      </w:r>
      <w:r>
        <w:t xml:space="preserve"> COLA/CPI appears only as source-reported wage-growth language; the report does not adjust wages for local prices or inflation.</w:t>
      </w:r>
    </w:p>
    <w:p>
      <w:pPr>
        <w:pStyle w:val="ListNumber"/>
      </w:pPr>
      <w:r/>
      <w:r>
        <w:rPr>
          <w:b/>
        </w:rPr>
        <w:t>OCR exclusions remain material.</w:t>
      </w:r>
      <w:r>
        <w:t xml:space="preserve"> Six hundred one retained sources are deferred for OCR and do not contribute to the present span and rating layers.</w:t>
      </w:r>
    </w:p>
    <w:p>
      <w:pPr>
        <w:pStyle w:val="ListNumber"/>
      </w:pPr>
      <w:r/>
      <w:r>
        <w:rPr>
          <w:b/>
        </w:rPr>
        <w:t>Normalization remains incomplete.</w:t>
      </w:r>
      <w:r>
        <w:t xml:space="preserve"> Pay basis, base/non-base classification, occupation, safety category, effective period, and rank/step/grade remain unresolved for many quantitative records.</w:t>
      </w:r>
    </w:p>
    <w:p>
      <w:pPr>
        <w:pStyle w:val="ListNumber"/>
      </w:pPr>
      <w:r/>
      <w:r>
        <w:rPr>
          <w:b/>
        </w:rPr>
        <w:t>Position equivalence is not automatic.</w:t>
      </w:r>
      <w:r>
        <w:t xml:space="preserve"> Titles, duties, hours, tenure, qualifications, and schedule location must be checked before a local documentary difference becomes an analytic comparison.</w:t>
      </w:r>
    </w:p>
    <w:p>
      <w:pPr>
        <w:pStyle w:val="ListNumber"/>
      </w:pPr>
      <w:r/>
      <w:r>
        <w:rPr>
          <w:b/>
        </w:rPr>
        <w:t>Quarantine and weak evidence remain excluded.</w:t>
      </w:r>
      <w:r>
        <w:t xml:space="preserve"> Fifty-eight quarantined ratings and 5,161 weak or unsupported ratings do not enter the findings layer.</w:t>
      </w:r>
    </w:p>
    <w:p>
      <w:pPr>
        <w:pStyle w:val="Heading1"/>
      </w:pPr>
      <w:r>
        <w:t>6. Current Scout Wave Status</w:t>
      </w:r>
    </w:p>
    <w:p>
      <w:r>
        <w:t>The Broad State 4x2500 wave has now been processed through scouting, candidate review, verification, source review and retention, text readiness, non-OCR text extraction, exact-span extraction, rating, ingestion and codification, normalization and matching, targeted normalization rescue, and focused validation of four bounded local wage comparisons. The public dashboard is current and uses scout coverage rate—not raw discovery volume—as its map metric. National scout coverage is 16,887 of 35,589 eligible or known municipalities, or 47.45%. Detailed engineering and reconciliation counters remain available in the dashboard's collapsed technical section rather than in the main PI view.</w:t>
      </w:r>
    </w:p>
    <w:p>
      <w:r>
        <w:t>Public dashboard: https://dkyaya.github.io/gabriel-wages/</w:t>
      </w:r>
    </w:p>
    <w:p>
      <w:pPr>
        <w:pStyle w:val="Heading1"/>
      </w:pPr>
      <w:r>
        <w:t>7. Recommended Next Steps</w:t>
      </w:r>
    </w:p>
    <w:p>
      <w:pPr>
        <w:pStyle w:val="ListNumber"/>
      </w:pPr>
      <w:r/>
      <w:r>
        <w:rPr>
          <w:b/>
        </w:rPr>
        <w:t>Complete final manual validation of the four bounded comparisons.</w:t>
      </w:r>
      <w:r>
        <w:t xml:space="preserve"> Confirm enactment, operative status, job and schedule equivalence, and bargaining-unit scope before any value enters an analytic table.</w:t>
      </w:r>
    </w:p>
    <w:p>
      <w:pPr>
        <w:pStyle w:val="ListNumber"/>
      </w:pPr>
      <w:r/>
      <w:r>
        <w:rPr>
          <w:b/>
        </w:rPr>
        <w:t>Expand normalization around the 185 near-gap-ready records.</w:t>
      </w:r>
      <w:r>
        <w:t xml:space="preserve"> Prioritize records already connected to the 65 matched municipality-cycle candidates rather than normalizing isolated safety records.</w:t>
      </w:r>
    </w:p>
    <w:p>
      <w:pPr>
        <w:pStyle w:val="ListNumber"/>
      </w:pPr>
      <w:r/>
      <w:r>
        <w:rPr>
          <w:b/>
        </w:rPr>
        <w:t>Refine the matched city-cycle layer.</w:t>
      </w:r>
      <w:r>
        <w:t xml:space="preserve"> Review the 303 comparable wage candidates and 141 growth-readiness candidates for pay basis, effective period, occupation, rank, step, grade, and base/non-base alignment.</w:t>
      </w:r>
    </w:p>
    <w:p>
      <w:pPr>
        <w:pStyle w:val="ListNumber"/>
      </w:pPr>
      <w:r/>
      <w:r>
        <w:rPr>
          <w:b/>
        </w:rPr>
        <w:t>Develop a bounded OCR strategy for the 601 deferred sources.</w:t>
      </w:r>
      <w:r>
        <w:t xml:space="preserve"> OCR should be a separate, audited phase; its outputs should not silently mix with the current non-OCR evidence.</w:t>
      </w:r>
    </w:p>
    <w:p>
      <w:pPr>
        <w:pStyle w:val="ListNumber"/>
      </w:pPr>
      <w:r/>
      <w:r>
        <w:rPr>
          <w:b/>
        </w:rPr>
        <w:t>Authorize exploratory wage-gap estimation only after a documented validation gate.</w:t>
      </w:r>
      <w:r>
        <w:t xml:space="preserve"> Initial outputs should remain transparent, local, and sensitivity-tested before any broader summary is considered.</w:t>
      </w:r>
    </w:p>
    <w:p>
      <w:pPr>
        <w:pStyle w:val="ListNumber"/>
      </w:pPr>
      <w:r/>
      <w:r>
        <w:rPr>
          <w:b/>
        </w:rPr>
        <w:t>Defer causal modeling.</w:t>
      </w:r>
      <w:r>
        <w:t xml:space="preserve"> Regression or treatment-effect work should wait until the matched structure, repeated cycles, and identification strategy are materially stronger.</w:t>
      </w:r>
    </w:p>
    <w:p>
      <w:pPr>
        <w:pStyle w:val="ListNumber"/>
      </w:pPr>
      <w:r/>
      <w:r>
        <w:rPr>
          <w:b/>
        </w:rPr>
        <w:t>Use further source expansion selectively.</w:t>
      </w:r>
      <w:r>
        <w:t xml:space="preserve"> After PI review, collect additional sources only where they close named matched-cycle, normalization, or mechanism-evidence gaps.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B7280"/>
        <w:sz w:val="17"/>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6B7280"/>
        <w:sz w:val="17"/>
      </w:rPr>
      <w:t>Gabriel Wages | PI Report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