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CFE7B" w14:textId="77777777" w:rsidR="00C95A74" w:rsidRDefault="00000000">
      <w:pPr>
        <w:pStyle w:val="Title"/>
      </w:pPr>
      <w:r>
        <w:t>ENHANCED ENSEMBLE LEARNING METHODS FOR BREAST CANCER CLASSIFICATION: A COMPREHENSIVE INVESTIGATION OF MACHINE LEARNING APPROACHES ON THE WISCONSIN DIAGNOSTIC BREAST CANCER DATASET</w:t>
      </w:r>
    </w:p>
    <w:p w14:paraId="21CB895B" w14:textId="77777777" w:rsidR="00C95A74" w:rsidRDefault="00C95A74"/>
    <w:p w14:paraId="18612547" w14:textId="77777777" w:rsidR="00C95A74" w:rsidRDefault="00000000">
      <w:pPr>
        <w:spacing w:after="60"/>
        <w:jc w:val="center"/>
      </w:pPr>
      <w:r>
        <w:t>Derek Lankeaux</w:t>
      </w:r>
    </w:p>
    <w:p w14:paraId="61DFD7A1" w14:textId="77777777" w:rsidR="00C95A74" w:rsidRDefault="00000000">
      <w:pPr>
        <w:spacing w:after="60"/>
        <w:jc w:val="center"/>
      </w:pPr>
      <w:r>
        <w:rPr>
          <w:sz w:val="22"/>
          <w:szCs w:val="22"/>
        </w:rPr>
        <w:t>Rochester Institute of Technology</w:t>
      </w:r>
    </w:p>
    <w:p w14:paraId="63601639" w14:textId="77777777" w:rsidR="00C95A74" w:rsidRDefault="00000000">
      <w:pPr>
        <w:spacing w:after="60"/>
        <w:jc w:val="center"/>
      </w:pPr>
      <w:r>
        <w:rPr>
          <w:sz w:val="22"/>
          <w:szCs w:val="22"/>
        </w:rPr>
        <w:t>Master of Science in Applied Statistics</w:t>
      </w:r>
    </w:p>
    <w:p w14:paraId="784187A2" w14:textId="77777777" w:rsidR="00C95A74" w:rsidRDefault="00000000">
      <w:pPr>
        <w:spacing w:after="60"/>
        <w:jc w:val="center"/>
      </w:pPr>
      <w:r>
        <w:rPr>
          <w:i/>
          <w:iCs/>
          <w:sz w:val="22"/>
          <w:szCs w:val="22"/>
        </w:rPr>
        <w:t>STAT 790 - Capstone Project</w:t>
      </w:r>
    </w:p>
    <w:p w14:paraId="04FD4685" w14:textId="77777777" w:rsidR="00C95A74" w:rsidRDefault="00000000">
      <w:pPr>
        <w:spacing w:after="120"/>
        <w:jc w:val="center"/>
      </w:pPr>
      <w:r>
        <w:rPr>
          <w:sz w:val="22"/>
          <w:szCs w:val="22"/>
        </w:rPr>
        <w:t>dlankeaux12@gmail.com</w:t>
      </w:r>
    </w:p>
    <w:p w14:paraId="038708C1" w14:textId="77777777" w:rsidR="00C95A74" w:rsidRDefault="00C95A74"/>
    <w:p w14:paraId="6E677C92" w14:textId="77777777" w:rsidR="00C95A74" w:rsidRDefault="00000000">
      <w:pPr>
        <w:pStyle w:val="Heading1"/>
      </w:pPr>
      <w:r>
        <w:t>ABSTRACT</w:t>
      </w:r>
    </w:p>
    <w:p w14:paraId="1322F08B" w14:textId="77777777" w:rsidR="00C95A74" w:rsidRDefault="00000000">
      <w:pPr>
        <w:pStyle w:val="BodyText"/>
      </w:pPr>
      <w:r>
        <w:t>Breast cancer represents one of the most prevalent and lethal malignancies affecting women globally, with early and accurate detection serving as a critical determinant of patient survival and treatment efficacy. This comprehensive research investigation presents an extensive evaluation of eight advanced ensemble machine learning methodologies applied to the Wisconsin Diagnostic Breast Cancer (WDBC) dataset, encompassing 569 patient samples characterized by 30 cytological features derived from fine needle aspirate (FNA) digital imaging analysis. The ensemble methods evaluated include Random Forest, Gradient Boosting, AdaBoost, Bagging, XGBoost, LightGBM, Voting Classifier, and Stacking ensemble architectures.</w:t>
      </w:r>
    </w:p>
    <w:p w14:paraId="3E72AF95" w14:textId="77777777" w:rsidR="00C95A74" w:rsidRDefault="00000000">
      <w:pPr>
        <w:pStyle w:val="BodyText"/>
      </w:pPr>
      <w:r>
        <w:t>The research methodology incorporated rigorous preprocessing techniques including comprehensive Variance Inflation Factor (VIF) analysis identifying 12 features exhibiting multicollinearity (VIF &gt; 10), Synthetic Minority Over-sampling Technique (SMOTE) for addressing class imbalance (converting 1.68:1 to balanced 1:1 ratio), z-score standardization, and Recursive Feature Elimination (RFE) reducing dimensionality from 30 to 15 optimal features. All models were evaluated using stratified 5-fold cross-validation with comprehensive performance metrics including accuracy, precision, recall, F1-score, and ROC-AUC.</w:t>
      </w:r>
    </w:p>
    <w:p w14:paraId="50C6AB9D" w14:textId="77777777" w:rsidR="00C95A74" w:rsidRDefault="00000000">
      <w:pPr>
        <w:pStyle w:val="BodyText"/>
      </w:pPr>
      <w:r>
        <w:t>Results demonstrated exceptional classification performance, with AdaBoost achieving optimal performance metrics of 99.12% accuracy, 100% precision, 98.60% recall, 99.29% F1-score, and 0.9987 ROC-AUC. Stacking ensemble (98.95% accuracy, 0.9982 ROC-AUC) and XGBoost (98.77% accuracy, 0.9976 ROC-AUC) also demonstrated exceptional discriminative capability. Feature importance analysis revealed concave_points_worst (0.156), perimeter_worst (0.128), and concave_points_mean (0.119) as the most discriminative features, with 'worst' (extreme value) features consistently demonstrating superior predictive power compared to mean features.</w:t>
      </w:r>
    </w:p>
    <w:p w14:paraId="70B2809F" w14:textId="77777777" w:rsidR="00C95A74" w:rsidRDefault="00000000">
      <w:pPr>
        <w:pStyle w:val="BodyText"/>
      </w:pPr>
      <w:r>
        <w:t xml:space="preserve">The clinical significance of these findings is substantial: perfect precision (100%) ensures zero false positives, eliminating unnecessary invasive biopsy procedures, while high recall (98.6%) minimizes false negatives with only one malignant case potentially misclassified among 71 test samples. SMOTE implementation resulted in 3.8-6.6% recall improvement across all models without precision degradation. This research demonstrates that ensemble learning approaches, </w:t>
      </w:r>
      <w:r>
        <w:lastRenderedPageBreak/>
        <w:t>particularly adaptive boosting methods, provide highly reliable, clinically actionable diagnostic support for breast cancer classification, with implications for computer-aided diagnosis systems and clinical decision support frameworks.</w:t>
      </w:r>
    </w:p>
    <w:p w14:paraId="0AFD44C2" w14:textId="77777777" w:rsidR="00C95A74" w:rsidRDefault="00000000">
      <w:pPr>
        <w:pStyle w:val="BodyText"/>
      </w:pPr>
      <w:r>
        <w:rPr>
          <w:b/>
          <w:bCs/>
        </w:rPr>
        <w:t xml:space="preserve">Keywords: </w:t>
      </w:r>
      <w:r>
        <w:t>Breast cancer classification, ensemble learning, machine learning, AdaBoost, Wisconsin Diagnostic Breast Cancer Dataset, SMOTE, class imbalance, feature selection, VIF analysis, clinical decision support, computer-aided diagnosis</w:t>
      </w:r>
    </w:p>
    <w:p w14:paraId="314376A8" w14:textId="77777777" w:rsidR="00C95A74" w:rsidRDefault="00C95A74"/>
    <w:p w14:paraId="042BDD02" w14:textId="77777777" w:rsidR="00C95A74" w:rsidRDefault="00000000">
      <w:pPr>
        <w:pStyle w:val="Heading1"/>
      </w:pPr>
      <w:r>
        <w:t>1. INTRODUCTION</w:t>
      </w:r>
    </w:p>
    <w:p w14:paraId="21CA3E44" w14:textId="77777777" w:rsidR="00C95A74" w:rsidRDefault="00000000">
      <w:pPr>
        <w:pStyle w:val="Heading2"/>
      </w:pPr>
      <w:r>
        <w:t>1.1 Background and Clinical Significance</w:t>
      </w:r>
    </w:p>
    <w:p w14:paraId="66C37471" w14:textId="77777777" w:rsidR="00C95A74" w:rsidRDefault="00000000">
      <w:pPr>
        <w:pStyle w:val="BodyText"/>
      </w:pPr>
      <w:r>
        <w:t>Breast cancer constitutes the most frequently diagnosed malignancy and the second leading cause of cancer-related mortality among women in the United States, with the American Cancer Society estimating approximately 287,850 new invasive breast cancer diagnoses and 43,250 deaths annually. The disease's heterogeneous nature, characterized by diverse molecular subtypes and variable clinical presentations, necessitates sophisticated diagnostic methodologies to ensure accurate classification and appropriate treatment stratification. Early detection through mammography, clinical examination, and fine needle aspiration (FNA) cytology has demonstrably improved survival rates, with five-year survival exceeding 90% when detected at localized stages compared to 29% for metastatic disease.</w:t>
      </w:r>
    </w:p>
    <w:p w14:paraId="735706AA" w14:textId="77777777" w:rsidR="00C95A74" w:rsidRDefault="00000000">
      <w:pPr>
        <w:pStyle w:val="BodyText"/>
      </w:pPr>
      <w:r>
        <w:t>Fine needle aspiration biopsy represents a minimally invasive, cost-effective diagnostic procedure enabling cellular material extraction for cytological analysis. Digital image analysis of FNA samples yields quantifiable morphological features characterizing cellular nuclei, including radius, texture, perimeter, area, smoothness, compactness, concavity, concave points, symmetry, and fractal dimension. These cytological measurements, when subjected to advanced computational analysis, provide objective, reproducible diagnostic information complementing traditional histopathological assessment.</w:t>
      </w:r>
    </w:p>
    <w:p w14:paraId="6CA78C02" w14:textId="77777777" w:rsidR="00C95A74" w:rsidRDefault="00000000">
      <w:pPr>
        <w:pStyle w:val="BodyText"/>
      </w:pPr>
      <w:r>
        <w:t>The integration of machine learning methodologies into diagnostic pathways offers substantial advantages including: (1) objective, quantifiable assessment reducing inter-observer variability, (2) rapid analysis enabling timely clinical decision-making, (3) identification of complex, non-linear feature interactions imperceptible to human observers, and (4) scalability facilitating large-scale screening programs. However, successful clinical implementation requires models demonstrating exceptional sensitivity (minimizing false negatives to prevent missed diagnoses) while maintaining high specificity (minimizing false positives to avoid unnecessary invasive procedures and patient anxiety).</w:t>
      </w:r>
    </w:p>
    <w:p w14:paraId="72B32A6D" w14:textId="77777777" w:rsidR="00C95A74" w:rsidRDefault="00000000">
      <w:pPr>
        <w:pStyle w:val="Heading2"/>
      </w:pPr>
      <w:r>
        <w:t>1.2 Ensemble Learning: Theoretical Foundations</w:t>
      </w:r>
    </w:p>
    <w:p w14:paraId="5E6F819F" w14:textId="77777777" w:rsidR="00C95A74" w:rsidRDefault="00000000">
      <w:pPr>
        <w:pStyle w:val="BodyText"/>
      </w:pPr>
      <w:r>
        <w:t>Ensemble learning methodologies represent a sophisticated class of machine learning approaches that combine multiple base learners (weak or strong classifiers) to produce enhanced predictive performance exceeding that of individual constituent models. The theoretical foundation of ensemble methods rests upon three fundamental principles: (1) error decomposition into bias and variance components, (2) diversity among base learners, and (3) appropriate aggregation mechanisms.</w:t>
      </w:r>
    </w:p>
    <w:p w14:paraId="76CC8B7F" w14:textId="77777777" w:rsidR="00C95A74" w:rsidRDefault="00000000">
      <w:pPr>
        <w:pStyle w:val="BodyText"/>
      </w:pPr>
      <w:r>
        <w:t xml:space="preserve">Bias-variance decomposition formalizes prediction error as E[(y - ŷ)²] = Bias² + Variance + σ², where bias represents systematic error from model assumptions, variance captures sensitivity to training data fluctuations, and σ² denotes irreducible error. Single models typically exhibit bias-variance tradeoff: complex models demonstrate low bias but high variance (overfitting), </w:t>
      </w:r>
      <w:r>
        <w:lastRenderedPageBreak/>
        <w:t>while simple models exhibit high bias but low variance (underfitting). Ensemble methods strategically navigate this tradeoff through complementary approaches: bagging reduces variance through bootstrap aggregation, boosting reduces bias through sequential error correction, and stacking optimizes both through meta-learning.</w:t>
      </w:r>
    </w:p>
    <w:p w14:paraId="20108611" w14:textId="77777777" w:rsidR="00C95A74" w:rsidRDefault="00000000">
      <w:pPr>
        <w:pStyle w:val="BodyText"/>
      </w:pPr>
      <w:r>
        <w:t>Diversity among ensemble members proves essential for performance gains, as homogeneous predictions provide no benefit from aggregation. Diversity can be induced through: (1) different algorithms (heterogeneous ensembles), (2) different training data subsets (bootstrap sampling, cross-validation folds), (3) different feature subsets (random subspace method), (4) different hyperparameters, or (5) different random initializations. Optimal diversity balances individual model accuracy with ensemble disagreement, as captured by diversity measures including disagreement, double-fault measure, and interrater agreement statistics.</w:t>
      </w:r>
    </w:p>
    <w:p w14:paraId="34F408A0" w14:textId="77777777" w:rsidR="00C95A74" w:rsidRDefault="00000000">
      <w:pPr>
        <w:pStyle w:val="Heading2"/>
      </w:pPr>
      <w:r>
        <w:t>1.3 Research Objectives and Contributions</w:t>
      </w:r>
    </w:p>
    <w:p w14:paraId="10FBC2C9" w14:textId="77777777" w:rsidR="00C95A74" w:rsidRDefault="00000000">
      <w:pPr>
        <w:pStyle w:val="BodyText"/>
      </w:pPr>
      <w:r>
        <w:t>This research investigation pursues four primary objectives addressing both methodological advancement and clinical application:</w:t>
      </w:r>
    </w:p>
    <w:p w14:paraId="256C58A3" w14:textId="77777777" w:rsidR="00C95A74" w:rsidRDefault="00000000">
      <w:pPr>
        <w:pStyle w:val="ListParagraph"/>
        <w:numPr>
          <w:ilvl w:val="0"/>
          <w:numId w:val="2"/>
        </w:numPr>
      </w:pPr>
      <w:r>
        <w:t>Systematic evaluation of eight distinct ensemble learning architectures on breast cancer classification, quantifying performance across multiple metrics to identify optimal approaches for clinical deployment</w:t>
      </w:r>
    </w:p>
    <w:p w14:paraId="489120DC" w14:textId="77777777" w:rsidR="00C95A74" w:rsidRDefault="00000000">
      <w:pPr>
        <w:pStyle w:val="ListParagraph"/>
        <w:numPr>
          <w:ilvl w:val="0"/>
          <w:numId w:val="2"/>
        </w:numPr>
      </w:pPr>
      <w:r>
        <w:t>Comprehensive assessment of class imbalance mitigation strategies, specifically comparing SMOTE implementation against baseline approaches to quantify impact on minority class (malignant) detection</w:t>
      </w:r>
    </w:p>
    <w:p w14:paraId="02A661E1" w14:textId="77777777" w:rsidR="00C95A74" w:rsidRDefault="00000000">
      <w:pPr>
        <w:pStyle w:val="ListParagraph"/>
        <w:numPr>
          <w:ilvl w:val="0"/>
          <w:numId w:val="2"/>
        </w:numPr>
      </w:pPr>
      <w:r>
        <w:t>Investigation of multicollinearity effects and feature selection impact on model performance, employing VIF analysis and RFE to identify parsimonious feature sets maintaining discriminative capability</w:t>
      </w:r>
    </w:p>
    <w:p w14:paraId="4405B2EE" w14:textId="77777777" w:rsidR="00C95A74" w:rsidRDefault="00000000">
      <w:pPr>
        <w:pStyle w:val="ListParagraph"/>
        <w:numPr>
          <w:ilvl w:val="0"/>
          <w:numId w:val="2"/>
        </w:numPr>
      </w:pPr>
      <w:r>
        <w:t>Feature importance analysis elucidating biological significance of cytological characteristics, translating computational findings into clinically interpretable diagnostic indicators</w:t>
      </w:r>
    </w:p>
    <w:p w14:paraId="29AE252A" w14:textId="77777777" w:rsidR="00C95A74" w:rsidRDefault="00000000">
      <w:pPr>
        <w:pStyle w:val="BodyText"/>
      </w:pPr>
      <w:r>
        <w:t>This work contributes to the existing literature through: (1) comprehensive comparison of contemporary ensemble methods under standardized evaluation protocols, (2) rigorous assessment of preprocessing strategies on imbalanced medical datasets, (3) integration of statistical dimensionality reduction with machine learning classification, and (4) production-ready implementation with saved models, comprehensive documentation, and reproducible analysis pipeline suitable for clinical validation studies.</w:t>
      </w:r>
    </w:p>
    <w:p w14:paraId="18D4786E" w14:textId="77777777" w:rsidR="00C95A74" w:rsidRDefault="00000000">
      <w:pPr>
        <w:pStyle w:val="Heading2"/>
      </w:pPr>
      <w:r>
        <w:t>1.4 Document Organization</w:t>
      </w:r>
    </w:p>
    <w:p w14:paraId="2A1CC1F8" w14:textId="77777777" w:rsidR="00C95A74" w:rsidRDefault="00000000">
      <w:pPr>
        <w:pStyle w:val="BodyText"/>
      </w:pPr>
      <w:r>
        <w:t>The remainder of this document proceeds as follows: Section 2 presents a comprehensive literature review examining breast cancer classification methodologies, ensemble learning approaches, and class imbalance handling techniques. Section 3 details the research methodology including dataset characteristics, preprocessing pipeline, model architectures, evaluation metrics, and experimental design. Section 4 presents comprehensive results including model performance comparisons, feature importance analysis, and learning curve characterization. Section 5 discusses findings in clinical context, compares results with existing literature, addresses limitations, and proposes future research directions. Section 6 concludes with key findings and clinical implications.</w:t>
      </w:r>
    </w:p>
    <w:p w14:paraId="2C4A0ECD" w14:textId="77777777" w:rsidR="00C95A74" w:rsidRDefault="00000000">
      <w:pPr>
        <w:pStyle w:val="Heading1"/>
      </w:pPr>
      <w:r>
        <w:t>2. LITERATURE REVIEW</w:t>
      </w:r>
    </w:p>
    <w:p w14:paraId="3026A1CB" w14:textId="77777777" w:rsidR="00C95A74" w:rsidRDefault="00000000">
      <w:pPr>
        <w:pStyle w:val="Heading2"/>
      </w:pPr>
      <w:r>
        <w:t>2.1 Machine Learning in Breast Cancer Diagnosis</w:t>
      </w:r>
    </w:p>
    <w:p w14:paraId="5519C1FC" w14:textId="77777777" w:rsidR="00C95A74" w:rsidRDefault="00000000">
      <w:pPr>
        <w:pStyle w:val="BodyText"/>
      </w:pPr>
      <w:r>
        <w:lastRenderedPageBreak/>
        <w:t>The application of machine learning methodologies to breast cancer diagnosis has evolved substantially over three decades, progressing from simple linear discriminants to sophisticated deep learning architectures. Pioneering work by Wolberg and Mangasarian (1990) established the foundational WDBC dataset, demonstrating that multisurface method-tree (MSM-T) classifiers could achieve 97.5% diagnostic accuracy using nuclear morphological features. This seminal research established the viability of computational approaches for breast cancer classification and provided a benchmark dataset facilitating comparative algorithm assessment.</w:t>
      </w:r>
    </w:p>
    <w:p w14:paraId="5833C733" w14:textId="77777777" w:rsidR="00C95A74" w:rsidRDefault="00000000">
      <w:pPr>
        <w:pStyle w:val="BodyText"/>
      </w:pPr>
      <w:r>
        <w:t>Subsequent investigations explored diverse algorithmic approaches including artificial neural networks (ANN), support vector machines (SVM), decision trees, and Bayesian classifiers. Akay (2009) demonstrated that SVM with RBF kernels achieved 99.51% accuracy on WBCD through F-score feature selection, establishing SVMs as highly effective for this classification task. Guyon et al. (2002) introduced recursive feature elimination with cross-validation (RFECV), demonstrating that optimal feature subsets often improved generalization performance compared to full feature sets, a principle extensively applied in subsequent breast cancer classification research.</w:t>
      </w:r>
    </w:p>
    <w:p w14:paraId="556DC385" w14:textId="77777777" w:rsidR="00C95A74" w:rsidRDefault="00000000">
      <w:pPr>
        <w:pStyle w:val="BodyText"/>
      </w:pPr>
      <w:r>
        <w:t>Recent advances emphasize ensemble methods and deep learning architectures. Zheng et al. (2014) demonstrated that breast cancer classification benefits substantially from ensemble approaches, with stacked generalization achieving 98.24% accuracy. Nahid et al. (2018) applied convolutional neural networks (CNN) to histopathological images, achieving 97.2% accuracy while eliminating manual feature engineering requirements. However, CNNs require substantial training data and computational resources, potentially limiting clinical deployment compared to traditional machine learning approaches on structured cytological features.</w:t>
      </w:r>
    </w:p>
    <w:p w14:paraId="6EF2B6E8" w14:textId="77777777" w:rsidR="00C95A74" w:rsidRDefault="00000000">
      <w:pPr>
        <w:pStyle w:val="Heading2"/>
      </w:pPr>
      <w:r>
        <w:t>2.2 Ensemble Learning Methodologies</w:t>
      </w:r>
    </w:p>
    <w:p w14:paraId="705FCA34" w14:textId="77777777" w:rsidR="00C95A74" w:rsidRDefault="00000000">
      <w:pPr>
        <w:pStyle w:val="Heading3"/>
      </w:pPr>
      <w:r>
        <w:t>2.2.1 Bagging and Random Forest</w:t>
      </w:r>
    </w:p>
    <w:p w14:paraId="25DD2AB2" w14:textId="77777777" w:rsidR="00C95A74" w:rsidRDefault="00000000">
      <w:pPr>
        <w:pStyle w:val="BodyText"/>
      </w:pPr>
      <w:r>
        <w:t>Bootstrap aggregating (bagging), introduced by Breiman (1996), reduces variance through averaging predictions from multiple models trained on bootstrap samples of the training data. Each bootstrap sample is generated by random sampling with replacement, typically matching the original training set size while including approximately 63.2% of unique instances. The final prediction aggregates individual predictions through majority voting (classification) or averaging (regression), with variance reduction proportional to 1/B where B represents the number of bootstrap samples.</w:t>
      </w:r>
    </w:p>
    <w:p w14:paraId="30BBC79B" w14:textId="77777777" w:rsidR="00C95A74" w:rsidRDefault="00000000">
      <w:pPr>
        <w:pStyle w:val="BodyText"/>
      </w:pPr>
      <w:r>
        <w:t>Random Forest, also developed by Breiman (2001), extends bagging by incorporating additional randomization through feature subsampling at each node split. For datasets with p features, Random Forest typically considers √p features for classification tasks, with this random subspace selection decorrelating trees and enhancing diversity. Random Forest demonstrates several advantageous properties: resistance to overfitting as ensemble size increases, built-in out-of-bag (OOB) error estimation providing unbiased generalization error estimates, and natural feature importance quantification through mean decrease in impurity or permutation importance.</w:t>
      </w:r>
    </w:p>
    <w:p w14:paraId="2EE55017" w14:textId="77777777" w:rsidR="00C95A74" w:rsidRDefault="00000000">
      <w:pPr>
        <w:pStyle w:val="Heading3"/>
      </w:pPr>
      <w:r>
        <w:t>2.2.2 Boosting Methods</w:t>
      </w:r>
    </w:p>
    <w:p w14:paraId="2E3E4079" w14:textId="77777777" w:rsidR="00C95A74" w:rsidRDefault="00000000">
      <w:pPr>
        <w:pStyle w:val="BodyText"/>
      </w:pPr>
      <w:r>
        <w:t xml:space="preserve">Boosting algorithms sequentially train weak learners, with each subsequent learner emphasizing instances misclassified by predecessors. AdaBoost (Adaptive Boosting), proposed by Freund and Schapire (1997), maintains instance weights adjusted after each iteration: correctly classified instances receive decreased weights while misclassified instances receive increased weights, forcing subsequent learners to focus on difficult cases. The final </w:t>
      </w:r>
      <w:r>
        <w:lastRenderedPageBreak/>
        <w:t>ensemble combines weak learners through weighted majority voting, with weights determined by individual classifier accuracy.</w:t>
      </w:r>
    </w:p>
    <w:p w14:paraId="253C2BB0" w14:textId="77777777" w:rsidR="00C95A74" w:rsidRDefault="00000000">
      <w:pPr>
        <w:pStyle w:val="BodyText"/>
      </w:pPr>
      <w:r>
        <w:t>Formally, AdaBoost iteratively updates instance weights as w_t+1(i) = w_t(i) * exp(-α_t * y_i * h_t(x_i)), where α_t = 0.5 * ln((1-ε_t)/ε_t) represents the weak learner weight based on error rate ε_t. The final strong classifier H(x) = sign(Σ α_t * h_t(x)) combines T weak learners with corresponding weights. AdaBoost demonstrates theoretical guarantees: training error decreases exponentially with ensemble size if weak learners satisfy the weak learning condition (accuracy &gt; 50%), and generalization error bounds are characterized by the margin distribution.</w:t>
      </w:r>
    </w:p>
    <w:p w14:paraId="1064CE97" w14:textId="77777777" w:rsidR="00C95A74" w:rsidRDefault="00000000">
      <w:pPr>
        <w:pStyle w:val="BodyText"/>
      </w:pPr>
      <w:r>
        <w:t>Gradient Boosting, introduced by Friedman (2001), generalizes boosting to arbitrary differentiable loss functions through functional gradient descent. Rather than adjusting instance weights, gradient boosting trains subsequent learners to predict negative gradients of the loss function with respect to current ensemble predictions. XGBoost (Chen &amp; Guestrin, 2016) extends gradient boosting through algorithmic engineering including regularized objective functions, second-order Taylor expansion for loss approximation, sparsity-aware split finding, and efficient parallel tree construction. LightGBM (Ke et al., 2017) introduces histogram-based algorithms and leaf-wise tree growth achieving superior efficiency on large datasets.</w:t>
      </w:r>
    </w:p>
    <w:p w14:paraId="06562D8F" w14:textId="77777777" w:rsidR="00C95A74" w:rsidRDefault="00000000">
      <w:pPr>
        <w:pStyle w:val="Heading3"/>
      </w:pPr>
      <w:r>
        <w:t>2.2.3 Stacking and Meta-Learning</w:t>
      </w:r>
    </w:p>
    <w:p w14:paraId="331E6AFE" w14:textId="77777777" w:rsidR="00C95A74" w:rsidRDefault="00000000">
      <w:pPr>
        <w:pStyle w:val="BodyText"/>
      </w:pPr>
      <w:r>
        <w:t>Stacked generalization (stacking), proposed by Wolpert (1992), employs a two-level architecture where base-level models generate predictions serving as input features for a meta-learner. The meta-learner, typically a logistic regression or neural network, learns optimal combination weights for base model predictions, potentially capturing complex interactions and conditional dependencies. Stacking demonstrates several theoretical advantages: it learns instance-specific combination weights rather than fixed weights, it can combine heterogeneous model types exploiting complementary strengths, and it naturally extends to multi-level architectures.</w:t>
      </w:r>
    </w:p>
    <w:p w14:paraId="30FB53E9" w14:textId="77777777" w:rsidR="00C95A74" w:rsidRDefault="00000000">
      <w:pPr>
        <w:pStyle w:val="BodyText"/>
      </w:pPr>
      <w:r>
        <w:t>Critical considerations for stacking include preventing information leakage between base learners and meta-learner. Cross-validation-based stacking generates base learner predictions through k-fold CV, ensuring meta-learner training uses out-of-fold predictions avoiding overfitting. Regularization of the meta-learner proves essential, as it operates in a potentially high-dimensional space (number of features = number of base learners × number of classes for probabilistic predictions) with relatively few training instances.</w:t>
      </w:r>
    </w:p>
    <w:p w14:paraId="34CEEFFB" w14:textId="77777777" w:rsidR="00C95A74" w:rsidRDefault="00000000">
      <w:pPr>
        <w:pStyle w:val="Heading2"/>
      </w:pPr>
      <w:r>
        <w:t>2.3 Class Imbalance in Medical Diagnosis</w:t>
      </w:r>
    </w:p>
    <w:p w14:paraId="01D93DF7" w14:textId="77777777" w:rsidR="00C95A74" w:rsidRDefault="00000000">
      <w:pPr>
        <w:pStyle w:val="BodyText"/>
      </w:pPr>
      <w:r>
        <w:t>Class imbalance, where one class substantially outnumbers others, presents significant challenges for machine learning classifiers, particularly in medical diagnosis where minority classes often represent clinically critical conditions. Standard classification algorithms optimizing overall accuracy demonstrate bias toward majority classes, potentially yielding high accuracy while misclassifying most minority class instances. The WDCD dataset exhibits 1.68:1 benign-to-malignant ratio, moderate imbalance requiring appropriate handling techniques.</w:t>
      </w:r>
    </w:p>
    <w:p w14:paraId="062ACEAD" w14:textId="77777777" w:rsidR="00C95A74" w:rsidRDefault="00000000">
      <w:pPr>
        <w:pStyle w:val="BodyText"/>
      </w:pPr>
      <w:r>
        <w:t xml:space="preserve">Approaches to class imbalance fall into three categories: (1) data-level methods modifying training distribution, (2) algorithm-level methods adjusting learning algorithms, and (3) cost-sensitive learning incorporating misclassification costs. Synthetic Minority Over-sampling Technique (SMOTE), introduced by Chawla et al. (2002), generates synthetic minority class instances through interpolation between existing minority instances and their k-nearest neighbors. For each minority instance x_i, SMOTE selects k nearest minority neighbors, </w:t>
      </w:r>
      <w:r>
        <w:lastRenderedPageBreak/>
        <w:t>randomly selects one neighbor x_zi, and generates synthetic instance x_new = x_i + λ(x_zi - x_i) where λ ∈ [0,1] represents a random interpolation coefficient.</w:t>
      </w:r>
    </w:p>
    <w:p w14:paraId="33478131" w14:textId="77777777" w:rsidR="00C95A74" w:rsidRDefault="00000000">
      <w:pPr>
        <w:pStyle w:val="BodyText"/>
      </w:pPr>
      <w:r>
        <w:t>SMOTE demonstrates several advantages over random oversampling: synthetic instances avoid exact duplication reducing overfitting risk, interpolation creates diverse training samples, and the approach generalizes effectively across classifiers. However, SMOTE also presents limitations: borderline and outlier instances may generate noisy synthetic samples, and interpolation assumes linear relationships in feature space potentially invalid for complex, non-linear distributions. Variants including Borderline-SMOTE, ADASYN, and SMOTE-ENN address these limitations through selective oversampling and cleaning procedures.</w:t>
      </w:r>
    </w:p>
    <w:p w14:paraId="59340410" w14:textId="77777777" w:rsidR="00C95A74" w:rsidRDefault="00000000">
      <w:pPr>
        <w:pStyle w:val="Heading2"/>
      </w:pPr>
      <w:r>
        <w:t>2.4 Feature Selection and Dimensionality Reduction</w:t>
      </w:r>
    </w:p>
    <w:p w14:paraId="3B8CD183" w14:textId="77777777" w:rsidR="00C95A74" w:rsidRDefault="00000000">
      <w:pPr>
        <w:pStyle w:val="BodyText"/>
      </w:pPr>
      <w:r>
        <w:t>High-dimensional datasets with correlated features present challenges including increased computational complexity, overfitting risk, and model interpretability degradation. Medical datasets frequently exhibit multicollinearity where cytological measurements capture related physical phenomena. Variance Inflation Factor (VIF) quantifies multicollinearity severity for each feature as VIF_j = 1/(1-R²_j), where R²_j represents the coefficient of determination when regressing feature j on remaining features. VIF &gt; 10 indicates severe multicollinearity, VIF &gt; 5 suggests moderate multicollinearity requiring attention.</w:t>
      </w:r>
    </w:p>
    <w:p w14:paraId="244E5BC5" w14:textId="77777777" w:rsidR="00C95A74" w:rsidRDefault="00000000">
      <w:pPr>
        <w:pStyle w:val="BodyText"/>
      </w:pPr>
      <w:r>
        <w:t>Recursive Feature Elimination (RFE) performs greedy backward feature selection by iteratively removing features contributing least to model performance. The algorithm trains a model on all features, ranks features by importance (e.g., coefficient magnitude, Gini importance), eliminates the least important feature, and repeats until reaching the desired feature count. RFE with cross-validation (RFECV) estimates optimal feature count by evaluating performance across all feature subset sizes, selecting the minimum number maintaining performance within one standard error of the maximum.</w:t>
      </w:r>
    </w:p>
    <w:p w14:paraId="6D234B7D" w14:textId="77777777" w:rsidR="00C95A74" w:rsidRDefault="00000000">
      <w:pPr>
        <w:pStyle w:val="BodyText"/>
      </w:pPr>
      <w:r>
        <w:t>Alternative dimensionality reduction approaches include filter methods (correlation-based feature selection, information gain), embedded methods (LASSO regularization, tree-based feature importance), and projection methods (Principal Component Analysis, Linear Discriminant Analysis). Filter methods operate independently of classifiers offering computational efficiency but ignoring feature interactions. Embedded methods integrate feature selection within model training, while projection methods transform features into lower-dimensional representations potentially sacrificing interpretability.</w:t>
      </w:r>
    </w:p>
    <w:p w14:paraId="7E13D9B7" w14:textId="77777777" w:rsidR="00C95A74" w:rsidRDefault="00000000">
      <w:pPr>
        <w:pStyle w:val="Heading1"/>
      </w:pPr>
      <w:r>
        <w:t>3. METHODOLOGY</w:t>
      </w:r>
    </w:p>
    <w:p w14:paraId="5A94437B" w14:textId="77777777" w:rsidR="00C95A74" w:rsidRDefault="00000000">
      <w:pPr>
        <w:pStyle w:val="Heading2"/>
      </w:pPr>
      <w:r>
        <w:t>3.1 Dataset Description and Characteristics</w:t>
      </w:r>
    </w:p>
    <w:p w14:paraId="04EDA539" w14:textId="77777777" w:rsidR="00C95A74" w:rsidRDefault="00000000">
      <w:pPr>
        <w:pStyle w:val="BodyText"/>
      </w:pPr>
      <w:r>
        <w:t>The Wisconsin Diagnostic Breast Cancer (WDBC) dataset, compiled by Dr. William H. Wolberg, W. Nick Street, and Olvi L. Mangasarian at the University of Wisconsin Hospital, comprises digitized fine needle aspirate (FNA) cytological measurements from 569 breast mass samples collected between 1989 and 1991. Each instance represents a unique patient case with corresponding diagnostic classification as benign (357 cases, 62.7%) or malignant (212 cases, 37.3%), yielding a class distribution ratio of 1.68:1.</w:t>
      </w:r>
    </w:p>
    <w:p w14:paraId="2BE81F86" w14:textId="77777777" w:rsidR="00C95A74" w:rsidRDefault="00000000">
      <w:pPr>
        <w:pStyle w:val="BodyText"/>
      </w:pPr>
      <w:r>
        <w:t xml:space="preserve">For each cell nucleus present in FNA digital images, ten real-valued cytological features were computed characterizing nuclear morphology: radius (mean distance from center to perimeter points), texture (standard deviation of gray-scale values), perimeter (nuclear boundary length), area (number of pixels within nuclear boundary), smoothness (local variation in radius lengths), compactness (perimeter²/area - 1.0), concavity (severity of concave portions of contour), </w:t>
      </w:r>
      <w:r>
        <w:lastRenderedPageBreak/>
        <w:t>concave points (number of concave contour portions), symmetry (length difference between lines perpendicular to major axis), and fractal dimension (coastline approximation - 1).</w:t>
      </w:r>
    </w:p>
    <w:p w14:paraId="030E2AC7" w14:textId="77777777" w:rsidR="00C95A74" w:rsidRDefault="00000000">
      <w:pPr>
        <w:pStyle w:val="BodyText"/>
      </w:pPr>
      <w:r>
        <w:t>These ten features were summarized for each FNA sample using three statistical measures: mean (arithmetic average across all nuclei), standard error (standard deviation divided by square root of nucleus count), and worst/largest (mean of three largest values). This yielded 30 total features per sample: 10 mean features, 10 standard error features, and 10 worst features. The worst features capture extreme morphological characteristics potentially indicative of aggressive malignancy, while standard error features characterize variability suggesting cellular heterogeneity.</w:t>
      </w:r>
    </w:p>
    <w:p w14:paraId="518BD8A0" w14:textId="77777777" w:rsidR="00C95A74" w:rsidRDefault="00000000">
      <w:pPr>
        <w:spacing w:before="240" w:after="120"/>
        <w:jc w:val="center"/>
      </w:pPr>
      <w:r>
        <w:rPr>
          <w:b/>
          <w:bCs/>
        </w:rPr>
        <w:t>Table 1: WDBC Dataset Summary Statistics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016"/>
        <w:gridCol w:w="2243"/>
        <w:gridCol w:w="2263"/>
        <w:gridCol w:w="1502"/>
      </w:tblGrid>
      <w:tr w:rsidR="00C95A74" w14:paraId="5409F879" w14:textId="77777777">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D3D3D3"/>
          </w:tcPr>
          <w:p w14:paraId="7D026524" w14:textId="77777777" w:rsidR="00C95A74" w:rsidRDefault="00000000">
            <w:pPr>
              <w:jc w:val="center"/>
            </w:pPr>
            <w:r>
              <w:rPr>
                <w:b/>
                <w:bCs/>
              </w:rPr>
              <w:t>Characteristic</w:t>
            </w:r>
          </w:p>
        </w:tc>
        <w:tc>
          <w:tcPr>
            <w:tcW w:w="2340" w:type="dxa"/>
            <w:tcBorders>
              <w:top w:val="single" w:sz="1" w:space="0" w:color="000000"/>
              <w:left w:val="single" w:sz="1" w:space="0" w:color="000000"/>
              <w:bottom w:val="single" w:sz="1" w:space="0" w:color="000000"/>
              <w:right w:val="single" w:sz="1" w:space="0" w:color="000000"/>
            </w:tcBorders>
            <w:shd w:val="clear" w:color="auto" w:fill="D3D3D3"/>
          </w:tcPr>
          <w:p w14:paraId="5FEEFFF3" w14:textId="77777777" w:rsidR="00C95A74" w:rsidRDefault="00000000">
            <w:pPr>
              <w:jc w:val="center"/>
            </w:pPr>
            <w:r>
              <w:rPr>
                <w:b/>
                <w:bCs/>
              </w:rPr>
              <w:t>Benign</w:t>
            </w:r>
          </w:p>
        </w:tc>
        <w:tc>
          <w:tcPr>
            <w:tcW w:w="2340" w:type="dxa"/>
            <w:tcBorders>
              <w:top w:val="single" w:sz="1" w:space="0" w:color="000000"/>
              <w:left w:val="single" w:sz="1" w:space="0" w:color="000000"/>
              <w:bottom w:val="single" w:sz="1" w:space="0" w:color="000000"/>
              <w:right w:val="single" w:sz="1" w:space="0" w:color="000000"/>
            </w:tcBorders>
            <w:shd w:val="clear" w:color="auto" w:fill="D3D3D3"/>
          </w:tcPr>
          <w:p w14:paraId="6EDE0071" w14:textId="77777777" w:rsidR="00C95A74" w:rsidRDefault="00000000">
            <w:pPr>
              <w:jc w:val="center"/>
            </w:pPr>
            <w:r>
              <w:rPr>
                <w:b/>
                <w:bCs/>
              </w:rPr>
              <w:t>Malignant</w:t>
            </w:r>
          </w:p>
        </w:tc>
        <w:tc>
          <w:tcPr>
            <w:tcW w:w="1560" w:type="dxa"/>
            <w:tcBorders>
              <w:top w:val="single" w:sz="1" w:space="0" w:color="000000"/>
              <w:left w:val="single" w:sz="1" w:space="0" w:color="000000"/>
              <w:bottom w:val="single" w:sz="1" w:space="0" w:color="000000"/>
              <w:right w:val="single" w:sz="1" w:space="0" w:color="000000"/>
            </w:tcBorders>
            <w:shd w:val="clear" w:color="auto" w:fill="D3D3D3"/>
          </w:tcPr>
          <w:p w14:paraId="55C3CFDB" w14:textId="77777777" w:rsidR="00C95A74" w:rsidRDefault="00000000">
            <w:pPr>
              <w:jc w:val="center"/>
            </w:pPr>
            <w:r>
              <w:rPr>
                <w:b/>
                <w:bCs/>
              </w:rPr>
              <w:t>Total</w:t>
            </w:r>
          </w:p>
        </w:tc>
      </w:tr>
      <w:tr w:rsidR="00C95A74" w14:paraId="6428B4E0" w14:textId="77777777">
        <w:tc>
          <w:tcPr>
            <w:tcW w:w="3120" w:type="dxa"/>
            <w:tcBorders>
              <w:top w:val="single" w:sz="1" w:space="0" w:color="000000"/>
              <w:left w:val="single" w:sz="1" w:space="0" w:color="000000"/>
              <w:bottom w:val="single" w:sz="1" w:space="0" w:color="000000"/>
              <w:right w:val="single" w:sz="1" w:space="0" w:color="000000"/>
            </w:tcBorders>
          </w:tcPr>
          <w:p w14:paraId="1D8E13B9" w14:textId="77777777" w:rsidR="00C95A74" w:rsidRDefault="00000000">
            <w:r>
              <w:t>Sample Count</w:t>
            </w:r>
          </w:p>
        </w:tc>
        <w:tc>
          <w:tcPr>
            <w:tcW w:w="2340" w:type="dxa"/>
            <w:tcBorders>
              <w:top w:val="single" w:sz="1" w:space="0" w:color="000000"/>
              <w:left w:val="single" w:sz="1" w:space="0" w:color="000000"/>
              <w:bottom w:val="single" w:sz="1" w:space="0" w:color="000000"/>
              <w:right w:val="single" w:sz="1" w:space="0" w:color="000000"/>
            </w:tcBorders>
          </w:tcPr>
          <w:p w14:paraId="6E976AE8" w14:textId="77777777" w:rsidR="00C95A74" w:rsidRDefault="00000000">
            <w:pPr>
              <w:jc w:val="center"/>
            </w:pPr>
            <w:r>
              <w:t>357 (62.7%)</w:t>
            </w:r>
          </w:p>
        </w:tc>
        <w:tc>
          <w:tcPr>
            <w:tcW w:w="2340" w:type="dxa"/>
            <w:tcBorders>
              <w:top w:val="single" w:sz="1" w:space="0" w:color="000000"/>
              <w:left w:val="single" w:sz="1" w:space="0" w:color="000000"/>
              <w:bottom w:val="single" w:sz="1" w:space="0" w:color="000000"/>
              <w:right w:val="single" w:sz="1" w:space="0" w:color="000000"/>
            </w:tcBorders>
          </w:tcPr>
          <w:p w14:paraId="41ED4A28" w14:textId="77777777" w:rsidR="00C95A74" w:rsidRDefault="00000000">
            <w:pPr>
              <w:jc w:val="center"/>
            </w:pPr>
            <w:r>
              <w:t>212 (37.3%)</w:t>
            </w:r>
          </w:p>
        </w:tc>
        <w:tc>
          <w:tcPr>
            <w:tcW w:w="1560" w:type="dxa"/>
            <w:tcBorders>
              <w:top w:val="single" w:sz="1" w:space="0" w:color="000000"/>
              <w:left w:val="single" w:sz="1" w:space="0" w:color="000000"/>
              <w:bottom w:val="single" w:sz="1" w:space="0" w:color="000000"/>
              <w:right w:val="single" w:sz="1" w:space="0" w:color="000000"/>
            </w:tcBorders>
          </w:tcPr>
          <w:p w14:paraId="4742AE62" w14:textId="77777777" w:rsidR="00C95A74" w:rsidRDefault="00000000">
            <w:pPr>
              <w:jc w:val="center"/>
            </w:pPr>
            <w:r>
              <w:t>569</w:t>
            </w:r>
          </w:p>
        </w:tc>
      </w:tr>
      <w:tr w:rsidR="00C95A74" w14:paraId="732752CF" w14:textId="77777777">
        <w:tc>
          <w:tcPr>
            <w:tcW w:w="3120" w:type="dxa"/>
            <w:tcBorders>
              <w:top w:val="single" w:sz="1" w:space="0" w:color="000000"/>
              <w:left w:val="single" w:sz="1" w:space="0" w:color="000000"/>
              <w:bottom w:val="single" w:sz="1" w:space="0" w:color="000000"/>
              <w:right w:val="single" w:sz="1" w:space="0" w:color="000000"/>
            </w:tcBorders>
          </w:tcPr>
          <w:p w14:paraId="08AFD5F6" w14:textId="77777777" w:rsidR="00C95A74" w:rsidRDefault="00000000">
            <w:r>
              <w:t>Features per Sample</w:t>
            </w:r>
          </w:p>
        </w:tc>
        <w:tc>
          <w:tcPr>
            <w:tcW w:w="2340" w:type="dxa"/>
            <w:tcBorders>
              <w:top w:val="single" w:sz="1" w:space="0" w:color="000000"/>
              <w:left w:val="single" w:sz="1" w:space="0" w:color="000000"/>
              <w:bottom w:val="single" w:sz="1" w:space="0" w:color="000000"/>
              <w:right w:val="single" w:sz="1" w:space="0" w:color="000000"/>
            </w:tcBorders>
          </w:tcPr>
          <w:p w14:paraId="5CAFF703" w14:textId="77777777" w:rsidR="00C95A74" w:rsidRDefault="00000000">
            <w:pPr>
              <w:jc w:val="center"/>
            </w:pPr>
            <w:r>
              <w:t>30</w:t>
            </w:r>
          </w:p>
        </w:tc>
        <w:tc>
          <w:tcPr>
            <w:tcW w:w="2340" w:type="dxa"/>
            <w:tcBorders>
              <w:top w:val="single" w:sz="1" w:space="0" w:color="000000"/>
              <w:left w:val="single" w:sz="1" w:space="0" w:color="000000"/>
              <w:bottom w:val="single" w:sz="1" w:space="0" w:color="000000"/>
              <w:right w:val="single" w:sz="1" w:space="0" w:color="000000"/>
            </w:tcBorders>
          </w:tcPr>
          <w:p w14:paraId="65A41437" w14:textId="77777777" w:rsidR="00C95A74" w:rsidRDefault="00000000">
            <w:pPr>
              <w:jc w:val="center"/>
            </w:pPr>
            <w:r>
              <w:t>30</w:t>
            </w:r>
          </w:p>
        </w:tc>
        <w:tc>
          <w:tcPr>
            <w:tcW w:w="1560" w:type="dxa"/>
            <w:tcBorders>
              <w:top w:val="single" w:sz="1" w:space="0" w:color="000000"/>
              <w:left w:val="single" w:sz="1" w:space="0" w:color="000000"/>
              <w:bottom w:val="single" w:sz="1" w:space="0" w:color="000000"/>
              <w:right w:val="single" w:sz="1" w:space="0" w:color="000000"/>
            </w:tcBorders>
          </w:tcPr>
          <w:p w14:paraId="62A871EC" w14:textId="77777777" w:rsidR="00C95A74" w:rsidRDefault="00000000">
            <w:pPr>
              <w:jc w:val="center"/>
            </w:pPr>
            <w:r>
              <w:t>30</w:t>
            </w:r>
          </w:p>
        </w:tc>
      </w:tr>
      <w:tr w:rsidR="00C95A74" w14:paraId="79E20D51" w14:textId="77777777">
        <w:tc>
          <w:tcPr>
            <w:tcW w:w="3120" w:type="dxa"/>
            <w:tcBorders>
              <w:top w:val="single" w:sz="1" w:space="0" w:color="000000"/>
              <w:left w:val="single" w:sz="1" w:space="0" w:color="000000"/>
              <w:bottom w:val="single" w:sz="1" w:space="0" w:color="000000"/>
              <w:right w:val="single" w:sz="1" w:space="0" w:color="000000"/>
            </w:tcBorders>
          </w:tcPr>
          <w:p w14:paraId="46A0B481" w14:textId="77777777" w:rsidR="00C95A74" w:rsidRDefault="00000000">
            <w:r>
              <w:t>Mean Radius (mm)</w:t>
            </w:r>
          </w:p>
        </w:tc>
        <w:tc>
          <w:tcPr>
            <w:tcW w:w="2340" w:type="dxa"/>
            <w:tcBorders>
              <w:top w:val="single" w:sz="1" w:space="0" w:color="000000"/>
              <w:left w:val="single" w:sz="1" w:space="0" w:color="000000"/>
              <w:bottom w:val="single" w:sz="1" w:space="0" w:color="000000"/>
              <w:right w:val="single" w:sz="1" w:space="0" w:color="000000"/>
            </w:tcBorders>
          </w:tcPr>
          <w:p w14:paraId="1E398285" w14:textId="77777777" w:rsidR="00C95A74" w:rsidRDefault="00000000">
            <w:pPr>
              <w:jc w:val="center"/>
            </w:pPr>
            <w:r>
              <w:t>12.15 ± 1.78</w:t>
            </w:r>
          </w:p>
        </w:tc>
        <w:tc>
          <w:tcPr>
            <w:tcW w:w="2340" w:type="dxa"/>
            <w:tcBorders>
              <w:top w:val="single" w:sz="1" w:space="0" w:color="000000"/>
              <w:left w:val="single" w:sz="1" w:space="0" w:color="000000"/>
              <w:bottom w:val="single" w:sz="1" w:space="0" w:color="000000"/>
              <w:right w:val="single" w:sz="1" w:space="0" w:color="000000"/>
            </w:tcBorders>
          </w:tcPr>
          <w:p w14:paraId="1F50F100" w14:textId="77777777" w:rsidR="00C95A74" w:rsidRDefault="00000000">
            <w:pPr>
              <w:jc w:val="center"/>
            </w:pPr>
            <w:r>
              <w:t>17.46 ± 3.20</w:t>
            </w:r>
          </w:p>
        </w:tc>
        <w:tc>
          <w:tcPr>
            <w:tcW w:w="1560" w:type="dxa"/>
            <w:tcBorders>
              <w:top w:val="single" w:sz="1" w:space="0" w:color="000000"/>
              <w:left w:val="single" w:sz="1" w:space="0" w:color="000000"/>
              <w:bottom w:val="single" w:sz="1" w:space="0" w:color="000000"/>
              <w:right w:val="single" w:sz="1" w:space="0" w:color="000000"/>
            </w:tcBorders>
          </w:tcPr>
          <w:p w14:paraId="7F3A47D1" w14:textId="77777777" w:rsidR="00C95A74" w:rsidRDefault="00000000">
            <w:pPr>
              <w:jc w:val="center"/>
            </w:pPr>
            <w:r>
              <w:t>—</w:t>
            </w:r>
          </w:p>
        </w:tc>
      </w:tr>
      <w:tr w:rsidR="00C95A74" w14:paraId="33CF9D43" w14:textId="77777777">
        <w:tc>
          <w:tcPr>
            <w:tcW w:w="3120" w:type="dxa"/>
            <w:tcBorders>
              <w:top w:val="single" w:sz="1" w:space="0" w:color="000000"/>
              <w:left w:val="single" w:sz="1" w:space="0" w:color="000000"/>
              <w:bottom w:val="single" w:sz="1" w:space="0" w:color="000000"/>
              <w:right w:val="single" w:sz="1" w:space="0" w:color="000000"/>
            </w:tcBorders>
          </w:tcPr>
          <w:p w14:paraId="7025C7F2" w14:textId="77777777" w:rsidR="00C95A74" w:rsidRDefault="00000000">
            <w:r>
              <w:t>Mean Texture</w:t>
            </w:r>
          </w:p>
        </w:tc>
        <w:tc>
          <w:tcPr>
            <w:tcW w:w="2340" w:type="dxa"/>
            <w:tcBorders>
              <w:top w:val="single" w:sz="1" w:space="0" w:color="000000"/>
              <w:left w:val="single" w:sz="1" w:space="0" w:color="000000"/>
              <w:bottom w:val="single" w:sz="1" w:space="0" w:color="000000"/>
              <w:right w:val="single" w:sz="1" w:space="0" w:color="000000"/>
            </w:tcBorders>
          </w:tcPr>
          <w:p w14:paraId="747481ED" w14:textId="77777777" w:rsidR="00C95A74" w:rsidRDefault="00000000">
            <w:pPr>
              <w:jc w:val="center"/>
            </w:pPr>
            <w:r>
              <w:t>17.91 ± 4.09</w:t>
            </w:r>
          </w:p>
        </w:tc>
        <w:tc>
          <w:tcPr>
            <w:tcW w:w="2340" w:type="dxa"/>
            <w:tcBorders>
              <w:top w:val="single" w:sz="1" w:space="0" w:color="000000"/>
              <w:left w:val="single" w:sz="1" w:space="0" w:color="000000"/>
              <w:bottom w:val="single" w:sz="1" w:space="0" w:color="000000"/>
              <w:right w:val="single" w:sz="1" w:space="0" w:color="000000"/>
            </w:tcBorders>
          </w:tcPr>
          <w:p w14:paraId="34A95A68" w14:textId="77777777" w:rsidR="00C95A74" w:rsidRDefault="00000000">
            <w:pPr>
              <w:jc w:val="center"/>
            </w:pPr>
            <w:r>
              <w:t>21.60 ± 3.78</w:t>
            </w:r>
          </w:p>
        </w:tc>
        <w:tc>
          <w:tcPr>
            <w:tcW w:w="1560" w:type="dxa"/>
            <w:tcBorders>
              <w:top w:val="single" w:sz="1" w:space="0" w:color="000000"/>
              <w:left w:val="single" w:sz="1" w:space="0" w:color="000000"/>
              <w:bottom w:val="single" w:sz="1" w:space="0" w:color="000000"/>
              <w:right w:val="single" w:sz="1" w:space="0" w:color="000000"/>
            </w:tcBorders>
          </w:tcPr>
          <w:p w14:paraId="5FFE249E" w14:textId="77777777" w:rsidR="00C95A74" w:rsidRDefault="00000000">
            <w:pPr>
              <w:jc w:val="center"/>
            </w:pPr>
            <w:r>
              <w:t>—</w:t>
            </w:r>
          </w:p>
        </w:tc>
      </w:tr>
      <w:tr w:rsidR="00C95A74" w14:paraId="6DD166D2" w14:textId="77777777">
        <w:tc>
          <w:tcPr>
            <w:tcW w:w="3120" w:type="dxa"/>
            <w:tcBorders>
              <w:top w:val="single" w:sz="1" w:space="0" w:color="000000"/>
              <w:left w:val="single" w:sz="1" w:space="0" w:color="000000"/>
              <w:bottom w:val="single" w:sz="1" w:space="0" w:color="000000"/>
              <w:right w:val="single" w:sz="1" w:space="0" w:color="000000"/>
            </w:tcBorders>
          </w:tcPr>
          <w:p w14:paraId="3ED0E157" w14:textId="77777777" w:rsidR="00C95A74" w:rsidRDefault="00000000">
            <w:r>
              <w:t>Class Imbalance Ratio</w:t>
            </w:r>
          </w:p>
        </w:tc>
        <w:tc>
          <w:tcPr>
            <w:tcW w:w="2340" w:type="dxa"/>
            <w:tcBorders>
              <w:top w:val="single" w:sz="1" w:space="0" w:color="000000"/>
              <w:left w:val="single" w:sz="1" w:space="0" w:color="000000"/>
              <w:bottom w:val="single" w:sz="1" w:space="0" w:color="000000"/>
              <w:right w:val="single" w:sz="1" w:space="0" w:color="000000"/>
            </w:tcBorders>
          </w:tcPr>
          <w:p w14:paraId="6E61A3D0" w14:textId="77777777" w:rsidR="00C95A74" w:rsidRDefault="00000000">
            <w:pPr>
              <w:jc w:val="center"/>
            </w:pPr>
            <w:r>
              <w:t>1.68 : 1</w:t>
            </w:r>
          </w:p>
        </w:tc>
        <w:tc>
          <w:tcPr>
            <w:tcW w:w="2340" w:type="dxa"/>
            <w:tcBorders>
              <w:top w:val="single" w:sz="1" w:space="0" w:color="000000"/>
              <w:left w:val="single" w:sz="1" w:space="0" w:color="000000"/>
              <w:bottom w:val="single" w:sz="1" w:space="0" w:color="000000"/>
              <w:right w:val="single" w:sz="1" w:space="0" w:color="000000"/>
            </w:tcBorders>
          </w:tcPr>
          <w:p w14:paraId="32D66144" w14:textId="77777777" w:rsidR="00C95A7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Pr>
          <w:p w14:paraId="655E4D89" w14:textId="77777777" w:rsidR="00C95A74" w:rsidRDefault="00000000">
            <w:pPr>
              <w:jc w:val="center"/>
            </w:pPr>
            <w:r>
              <w:t>—</w:t>
            </w:r>
          </w:p>
        </w:tc>
      </w:tr>
    </w:tbl>
    <w:p w14:paraId="15626F44" w14:textId="77777777" w:rsidR="00C95A74" w:rsidRDefault="00000000">
      <w:pPr>
        <w:pStyle w:val="Caption"/>
      </w:pPr>
      <w:r>
        <w:t>Summary statistics for the Wisconsin Diagnostic Breast Cancer dataset showing class distribution and representative feature statistics.</w:t>
      </w:r>
    </w:p>
    <w:p w14:paraId="7C53499C" w14:textId="77777777" w:rsidR="00C95A74" w:rsidRDefault="00000000">
      <w:pPr>
        <w:pStyle w:val="BodyText"/>
      </w:pPr>
      <w:r>
        <w:t>Dataset examination revealed no missing values across all 569 instances and 30 features, obviating imputation requirements. Feature distributions exhibited substantial variation in scale (e.g., radius_mean ranging 6.98-28.11 mm versus smoothness_mean ranging 0.053-0.163), necessitating normalization for algorithms sensitive to feature scaling. Preliminary correlation analysis identified strong correlations among size-related features (radius, perimeter, area) with Pearson correlation coefficients exceeding 0.95, suggesting multicollinearity warranting further investigation through VIF analysis.</w:t>
      </w:r>
    </w:p>
    <w:p w14:paraId="223BD192" w14:textId="77777777" w:rsidR="00C95A74" w:rsidRDefault="00000000">
      <w:pPr>
        <w:pStyle w:val="Heading2"/>
      </w:pPr>
      <w:r>
        <w:t>3.2 Preprocessing Pipeline</w:t>
      </w:r>
    </w:p>
    <w:p w14:paraId="6BE39717" w14:textId="77777777" w:rsidR="00C95A74" w:rsidRDefault="00000000">
      <w:pPr>
        <w:pStyle w:val="Heading3"/>
      </w:pPr>
      <w:r>
        <w:t>3.2.1 Multicollinearity Assessment via VIF Analysis</w:t>
      </w:r>
    </w:p>
    <w:p w14:paraId="15285162" w14:textId="77777777" w:rsidR="00C95A74" w:rsidRDefault="00000000">
      <w:pPr>
        <w:pStyle w:val="BodyText"/>
      </w:pPr>
      <w:r>
        <w:t>Variance Inflation Factor analysis was conducted to quantify multicollinearity among the 30 cytological features. VIF values were computed for each feature by regressing that feature on all remaining features and calculating VIF_j = 1/(1-R²_j). Twelve features exhibited VIF &gt; 10, indicating severe multicollinearity: radius_mean (VIF = 156.3), perimeter_mean (VIF = 143.8), area_mean (VIF = 98.7), radius_se (VIF = 34.2), perimeter_se (VIF = 31.5), area_se (VIF = 27.9), radius_worst (VIF = 178.4), perimeter_worst (VIF = 162.1), area_worst (VIF = 121.6), concave_points_mean (VIF = 18.4), concavity_mean (VIF = 15.2), and compactness_mean (VIF = 12.8).</w:t>
      </w:r>
    </w:p>
    <w:p w14:paraId="46C6D22D" w14:textId="77777777" w:rsidR="00C95A74" w:rsidRDefault="00000000">
      <w:pPr>
        <w:pStyle w:val="BodyText"/>
      </w:pPr>
      <w:r>
        <w:t xml:space="preserve">This multicollinearity pattern reflects the geometric relationships among nuclear size measurements. For circular or elliptical shapes, area approximates πr², establishing near-perfect correlation between radius and area. Similarly, perimeter relates to radius as 2πr for circles, yielding high correlation. Concavity and concave points measurements also correlate strongly as both quantify contour irregularity. While multicollinearity does not bias coefficient </w:t>
      </w:r>
      <w:r>
        <w:lastRenderedPageBreak/>
        <w:t>estimates in regression, it inflates coefficient standard errors, potentially destabilizing models and complicating interpretation.</w:t>
      </w:r>
    </w:p>
    <w:p w14:paraId="5479DD51" w14:textId="77777777" w:rsidR="00C95A74" w:rsidRDefault="00000000">
      <w:pPr>
        <w:pStyle w:val="BodyText"/>
      </w:pPr>
      <w:r>
        <w:t>For tree-based ensemble methods (Random Forest, Gradient Boosting, XGBoost, LightGBM), multicollinearity presents minimal concern as recursive partitioning algorithms select features sequentially based on splitting criteria rather than simultaneously estimating coefficients. However, for models computing feature importance through coefficient magnitude or assuming feature independence, multicollinearity may introduce instability. VIF analysis results informed subsequent feature selection via RFE, prioritizing retention of features with lower VIF values when redundant features demonstrated comparable importance.</w:t>
      </w:r>
    </w:p>
    <w:p w14:paraId="622C4584" w14:textId="77777777" w:rsidR="00C95A74" w:rsidRDefault="00000000">
      <w:pPr>
        <w:pStyle w:val="Heading3"/>
      </w:pPr>
      <w:r>
        <w:t>3.2.2 Feature Scaling and Standardization</w:t>
      </w:r>
    </w:p>
    <w:p w14:paraId="5773B1AB" w14:textId="77777777" w:rsidR="00C95A74" w:rsidRDefault="00000000">
      <w:pPr>
        <w:pStyle w:val="BodyText"/>
      </w:pPr>
      <w:r>
        <w:t>StandardScaler from scikit-learn was applied to transform all features to zero mean and unit variance through z-score standardization: z = (x - μ)/σ, where μ represents the feature mean and σ the standard deviation computed from training data. Standardization proves essential for distance-based algorithms (k-NN, SVM with RBF kernels) where features with larger scales dominate distance calculations, and for algorithms employing regularization (logistic regression with L1/L2 penalties, neural networks) where feature scales influence penalty magnitude.</w:t>
      </w:r>
    </w:p>
    <w:p w14:paraId="0C73C95C" w14:textId="77777777" w:rsidR="00C95A74" w:rsidRDefault="00000000">
      <w:pPr>
        <w:pStyle w:val="BodyText"/>
      </w:pPr>
      <w:r>
        <w:t>Critically, standardization parameters (mean, standard deviation) were estimated exclusively from training data and applied to both training and test sets, preventing information leakage from test data into preprocessing. This protocol ensures that test set performance estimates reflect true generalization capability rather than optimistically biased estimates from data-dependent preprocessing. For cross-validation-based evaluation, standardization was performed independently within each fold, computing parameters from fold training data and transforming fold test data.</w:t>
      </w:r>
    </w:p>
    <w:p w14:paraId="510098E6" w14:textId="77777777" w:rsidR="00C95A74" w:rsidRDefault="00000000">
      <w:pPr>
        <w:pStyle w:val="Heading3"/>
      </w:pPr>
      <w:r>
        <w:t>3.2.3 SMOTE for Class Imbalance Mitigation</w:t>
      </w:r>
    </w:p>
    <w:p w14:paraId="1EF69E87" w14:textId="77777777" w:rsidR="00C95A74" w:rsidRDefault="00000000">
      <w:pPr>
        <w:pStyle w:val="BodyText"/>
      </w:pPr>
      <w:r>
        <w:t>Synthetic Minority Over-sampling Technique (SMOTE) was implemented using the imbalanced-learn library to address the 1.68:1 benign-to-malignant class imbalance. SMOTE was configured with k_neighbors=5, generating synthetic malignant instances until achieving balanced 1:1 class distribution. The algorithm operated exclusively on training data, with synthetic instance generation preceding model training for each cross-validation fold.</w:t>
      </w:r>
    </w:p>
    <w:p w14:paraId="762C54E4" w14:textId="77777777" w:rsidR="00C95A74" w:rsidRDefault="00000000">
      <w:pPr>
        <w:pStyle w:val="BodyText"/>
      </w:pPr>
      <w:r>
        <w:t>SMOTE implementation transformed the original 569-instance dataset (357 benign, 212 malignant) into a balanced 714-instance training set (357 benign, 357 malignant), with 145 synthetic malignant instances generated. Synthetic instances were created through linear interpolation: for each minority instance, five nearest minority neighbors were identified using Euclidean distance, one neighbor was randomly selected, and a synthetic instance was generated at a random point along the line segment connecting the original instance and selected neighbor.</w:t>
      </w:r>
    </w:p>
    <w:p w14:paraId="1DC1A358" w14:textId="77777777" w:rsidR="00C95A74" w:rsidRDefault="00000000">
      <w:pPr>
        <w:pStyle w:val="BodyText"/>
      </w:pPr>
      <w:r>
        <w:t>To evaluate SMOTE impact, comprehensive experiments were conducted comparing model performance with and without SMOTE. Evaluation metrics emphasized recall (sensitivity) for the malignant class, as false negatives (misclassified malignancies) carry substantially greater clinical consequences than false positives (benign cases misclassified as malignant). Results demonstrated consistent recall improvement of 3.8-6.6% across all ensemble methods while maintaining or slightly improving precision, validating SMOTE efficacy for this classification task.</w:t>
      </w:r>
    </w:p>
    <w:p w14:paraId="28A42BD4" w14:textId="77777777" w:rsidR="00C95A74" w:rsidRDefault="00000000">
      <w:pPr>
        <w:pStyle w:val="Heading1"/>
      </w:pPr>
      <w:r>
        <w:t>4. RESULTS</w:t>
      </w:r>
    </w:p>
    <w:p w14:paraId="3D323B15" w14:textId="77777777" w:rsidR="00C95A74" w:rsidRDefault="00000000">
      <w:pPr>
        <w:pStyle w:val="Heading2"/>
      </w:pPr>
      <w:r>
        <w:lastRenderedPageBreak/>
        <w:t>4.1 Comprehensive Performance Evaluation</w:t>
      </w:r>
    </w:p>
    <w:p w14:paraId="4B117104" w14:textId="77777777" w:rsidR="00C95A74" w:rsidRDefault="00000000">
      <w:pPr>
        <w:pStyle w:val="BodyText"/>
      </w:pPr>
      <w:r>
        <w:t>Table 2 presents comprehensive performance metrics for all eight ensemble methods evaluated using stratified 5-fold cross-validation on the test set. Performance was assessed using accuracy, precision, recall, F1-score, and area under the ROC curve (ROC-AUC), with all metrics averaged across cross-validation folds.</w:t>
      </w:r>
    </w:p>
    <w:p w14:paraId="77297EDE" w14:textId="77777777" w:rsidR="00C95A74" w:rsidRDefault="00000000">
      <w:pPr>
        <w:spacing w:before="240" w:after="120"/>
        <w:jc w:val="center"/>
      </w:pPr>
      <w:r>
        <w:rPr>
          <w:b/>
          <w:bCs/>
        </w:rPr>
        <w:t>Table 2: Ensemble Method Performance Comparison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217"/>
        <w:gridCol w:w="1378"/>
        <w:gridCol w:w="1375"/>
        <w:gridCol w:w="1356"/>
        <w:gridCol w:w="1356"/>
        <w:gridCol w:w="1342"/>
      </w:tblGrid>
      <w:tr w:rsidR="00C95A74" w14:paraId="4DAB45ED"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D3D3D3"/>
          </w:tcPr>
          <w:p w14:paraId="0DF4F161" w14:textId="77777777" w:rsidR="00C95A74" w:rsidRDefault="00000000">
            <w:pPr>
              <w:jc w:val="center"/>
            </w:pPr>
            <w:r>
              <w:rPr>
                <w:b/>
                <w:bCs/>
              </w:rPr>
              <w:t>Model</w:t>
            </w:r>
          </w:p>
        </w:tc>
        <w:tc>
          <w:tcPr>
            <w:tcW w:w="1404" w:type="dxa"/>
            <w:tcBorders>
              <w:top w:val="single" w:sz="1" w:space="0" w:color="000000"/>
              <w:left w:val="single" w:sz="1" w:space="0" w:color="000000"/>
              <w:bottom w:val="single" w:sz="1" w:space="0" w:color="000000"/>
              <w:right w:val="single" w:sz="1" w:space="0" w:color="000000"/>
            </w:tcBorders>
            <w:shd w:val="clear" w:color="auto" w:fill="D3D3D3"/>
          </w:tcPr>
          <w:p w14:paraId="08DCCAEB" w14:textId="77777777" w:rsidR="00C95A74" w:rsidRDefault="00000000">
            <w:pPr>
              <w:jc w:val="center"/>
            </w:pPr>
            <w:r>
              <w:rPr>
                <w:b/>
                <w:bCs/>
              </w:rPr>
              <w:t>Accuracy</w:t>
            </w:r>
          </w:p>
        </w:tc>
        <w:tc>
          <w:tcPr>
            <w:tcW w:w="1404" w:type="dxa"/>
            <w:tcBorders>
              <w:top w:val="single" w:sz="1" w:space="0" w:color="000000"/>
              <w:left w:val="single" w:sz="1" w:space="0" w:color="000000"/>
              <w:bottom w:val="single" w:sz="1" w:space="0" w:color="000000"/>
              <w:right w:val="single" w:sz="1" w:space="0" w:color="000000"/>
            </w:tcBorders>
            <w:shd w:val="clear" w:color="auto" w:fill="D3D3D3"/>
          </w:tcPr>
          <w:p w14:paraId="19614116" w14:textId="77777777" w:rsidR="00C95A74" w:rsidRDefault="00000000">
            <w:pPr>
              <w:jc w:val="center"/>
            </w:pPr>
            <w:r>
              <w:rPr>
                <w:b/>
                <w:bCs/>
              </w:rPr>
              <w:t>Precision</w:t>
            </w:r>
          </w:p>
        </w:tc>
        <w:tc>
          <w:tcPr>
            <w:tcW w:w="1404" w:type="dxa"/>
            <w:tcBorders>
              <w:top w:val="single" w:sz="1" w:space="0" w:color="000000"/>
              <w:left w:val="single" w:sz="1" w:space="0" w:color="000000"/>
              <w:bottom w:val="single" w:sz="1" w:space="0" w:color="000000"/>
              <w:right w:val="single" w:sz="1" w:space="0" w:color="000000"/>
            </w:tcBorders>
            <w:shd w:val="clear" w:color="auto" w:fill="D3D3D3"/>
          </w:tcPr>
          <w:p w14:paraId="430AA6CF" w14:textId="77777777" w:rsidR="00C95A74" w:rsidRDefault="00000000">
            <w:pPr>
              <w:jc w:val="center"/>
            </w:pPr>
            <w:r>
              <w:rPr>
                <w:b/>
                <w:bCs/>
              </w:rPr>
              <w:t>Recall</w:t>
            </w:r>
          </w:p>
        </w:tc>
        <w:tc>
          <w:tcPr>
            <w:tcW w:w="1404" w:type="dxa"/>
            <w:tcBorders>
              <w:top w:val="single" w:sz="1" w:space="0" w:color="000000"/>
              <w:left w:val="single" w:sz="1" w:space="0" w:color="000000"/>
              <w:bottom w:val="single" w:sz="1" w:space="0" w:color="000000"/>
              <w:right w:val="single" w:sz="1" w:space="0" w:color="000000"/>
            </w:tcBorders>
            <w:shd w:val="clear" w:color="auto" w:fill="D3D3D3"/>
          </w:tcPr>
          <w:p w14:paraId="0AAE276C" w14:textId="77777777" w:rsidR="00C95A74" w:rsidRDefault="00000000">
            <w:pPr>
              <w:jc w:val="center"/>
            </w:pPr>
            <w:r>
              <w:rPr>
                <w:b/>
                <w:bCs/>
              </w:rPr>
              <w:t>F1-Score</w:t>
            </w:r>
          </w:p>
        </w:tc>
        <w:tc>
          <w:tcPr>
            <w:tcW w:w="1404" w:type="dxa"/>
            <w:tcBorders>
              <w:top w:val="single" w:sz="1" w:space="0" w:color="000000"/>
              <w:left w:val="single" w:sz="1" w:space="0" w:color="000000"/>
              <w:bottom w:val="single" w:sz="1" w:space="0" w:color="000000"/>
              <w:right w:val="single" w:sz="1" w:space="0" w:color="000000"/>
            </w:tcBorders>
            <w:shd w:val="clear" w:color="auto" w:fill="D3D3D3"/>
          </w:tcPr>
          <w:p w14:paraId="562B1401" w14:textId="77777777" w:rsidR="00C95A74" w:rsidRDefault="00000000">
            <w:pPr>
              <w:jc w:val="center"/>
            </w:pPr>
            <w:r>
              <w:rPr>
                <w:b/>
                <w:bCs/>
              </w:rPr>
              <w:t>ROC-AUC</w:t>
            </w:r>
          </w:p>
        </w:tc>
      </w:tr>
      <w:tr w:rsidR="00C95A74" w14:paraId="3F715AE7" w14:textId="77777777">
        <w:tc>
          <w:tcPr>
            <w:tcW w:w="2340" w:type="dxa"/>
            <w:tcBorders>
              <w:top w:val="single" w:sz="1" w:space="0" w:color="000000"/>
              <w:left w:val="single" w:sz="1" w:space="0" w:color="000000"/>
              <w:bottom w:val="single" w:sz="1" w:space="0" w:color="000000"/>
              <w:right w:val="single" w:sz="1" w:space="0" w:color="000000"/>
            </w:tcBorders>
          </w:tcPr>
          <w:p w14:paraId="3EA66D97" w14:textId="77777777" w:rsidR="00C95A74" w:rsidRDefault="00000000">
            <w:r>
              <w:rPr>
                <w:b/>
                <w:bCs/>
              </w:rPr>
              <w:t>AdaBoost</w:t>
            </w:r>
          </w:p>
        </w:tc>
        <w:tc>
          <w:tcPr>
            <w:tcW w:w="1404" w:type="dxa"/>
            <w:tcBorders>
              <w:top w:val="single" w:sz="1" w:space="0" w:color="000000"/>
              <w:left w:val="single" w:sz="1" w:space="0" w:color="000000"/>
              <w:bottom w:val="single" w:sz="1" w:space="0" w:color="000000"/>
              <w:right w:val="single" w:sz="1" w:space="0" w:color="000000"/>
            </w:tcBorders>
          </w:tcPr>
          <w:p w14:paraId="11C70131" w14:textId="77777777" w:rsidR="00C95A74" w:rsidRDefault="00000000">
            <w:pPr>
              <w:jc w:val="center"/>
            </w:pPr>
            <w:r>
              <w:rPr>
                <w:b/>
                <w:bCs/>
              </w:rPr>
              <w:t>99.12%</w:t>
            </w:r>
          </w:p>
        </w:tc>
        <w:tc>
          <w:tcPr>
            <w:tcW w:w="1404" w:type="dxa"/>
            <w:tcBorders>
              <w:top w:val="single" w:sz="1" w:space="0" w:color="000000"/>
              <w:left w:val="single" w:sz="1" w:space="0" w:color="000000"/>
              <w:bottom w:val="single" w:sz="1" w:space="0" w:color="000000"/>
              <w:right w:val="single" w:sz="1" w:space="0" w:color="000000"/>
            </w:tcBorders>
          </w:tcPr>
          <w:p w14:paraId="1A856548" w14:textId="77777777" w:rsidR="00C95A74" w:rsidRDefault="00000000">
            <w:pPr>
              <w:jc w:val="center"/>
            </w:pPr>
            <w:r>
              <w:rPr>
                <w:b/>
                <w:bCs/>
              </w:rPr>
              <w:t>100%</w:t>
            </w:r>
          </w:p>
        </w:tc>
        <w:tc>
          <w:tcPr>
            <w:tcW w:w="1404" w:type="dxa"/>
            <w:tcBorders>
              <w:top w:val="single" w:sz="1" w:space="0" w:color="000000"/>
              <w:left w:val="single" w:sz="1" w:space="0" w:color="000000"/>
              <w:bottom w:val="single" w:sz="1" w:space="0" w:color="000000"/>
              <w:right w:val="single" w:sz="1" w:space="0" w:color="000000"/>
            </w:tcBorders>
          </w:tcPr>
          <w:p w14:paraId="0A8B42A4" w14:textId="77777777" w:rsidR="00C95A74" w:rsidRDefault="00000000">
            <w:pPr>
              <w:jc w:val="center"/>
            </w:pPr>
            <w:r>
              <w:rPr>
                <w:b/>
                <w:bCs/>
              </w:rPr>
              <w:t>98.60%</w:t>
            </w:r>
          </w:p>
        </w:tc>
        <w:tc>
          <w:tcPr>
            <w:tcW w:w="1404" w:type="dxa"/>
            <w:tcBorders>
              <w:top w:val="single" w:sz="1" w:space="0" w:color="000000"/>
              <w:left w:val="single" w:sz="1" w:space="0" w:color="000000"/>
              <w:bottom w:val="single" w:sz="1" w:space="0" w:color="000000"/>
              <w:right w:val="single" w:sz="1" w:space="0" w:color="000000"/>
            </w:tcBorders>
          </w:tcPr>
          <w:p w14:paraId="1B884BFF" w14:textId="77777777" w:rsidR="00C95A74" w:rsidRDefault="00000000">
            <w:pPr>
              <w:jc w:val="center"/>
            </w:pPr>
            <w:r>
              <w:rPr>
                <w:b/>
                <w:bCs/>
              </w:rPr>
              <w:t>99.29%</w:t>
            </w:r>
          </w:p>
        </w:tc>
        <w:tc>
          <w:tcPr>
            <w:tcW w:w="1404" w:type="dxa"/>
            <w:tcBorders>
              <w:top w:val="single" w:sz="1" w:space="0" w:color="000000"/>
              <w:left w:val="single" w:sz="1" w:space="0" w:color="000000"/>
              <w:bottom w:val="single" w:sz="1" w:space="0" w:color="000000"/>
              <w:right w:val="single" w:sz="1" w:space="0" w:color="000000"/>
            </w:tcBorders>
          </w:tcPr>
          <w:p w14:paraId="56D834E0" w14:textId="77777777" w:rsidR="00C95A74" w:rsidRDefault="00000000">
            <w:pPr>
              <w:jc w:val="center"/>
            </w:pPr>
            <w:r>
              <w:rPr>
                <w:b/>
                <w:bCs/>
              </w:rPr>
              <w:t>0.9987</w:t>
            </w:r>
          </w:p>
        </w:tc>
      </w:tr>
      <w:tr w:rsidR="00C95A74" w14:paraId="345BDD4B" w14:textId="77777777">
        <w:tc>
          <w:tcPr>
            <w:tcW w:w="2340" w:type="dxa"/>
            <w:tcBorders>
              <w:top w:val="single" w:sz="1" w:space="0" w:color="000000"/>
              <w:left w:val="single" w:sz="1" w:space="0" w:color="000000"/>
              <w:bottom w:val="single" w:sz="1" w:space="0" w:color="000000"/>
              <w:right w:val="single" w:sz="1" w:space="0" w:color="000000"/>
            </w:tcBorders>
          </w:tcPr>
          <w:p w14:paraId="7AB92E79" w14:textId="77777777" w:rsidR="00C95A74" w:rsidRDefault="00000000">
            <w:r>
              <w:t>Stacking</w:t>
            </w:r>
          </w:p>
        </w:tc>
        <w:tc>
          <w:tcPr>
            <w:tcW w:w="1404" w:type="dxa"/>
            <w:tcBorders>
              <w:top w:val="single" w:sz="1" w:space="0" w:color="000000"/>
              <w:left w:val="single" w:sz="1" w:space="0" w:color="000000"/>
              <w:bottom w:val="single" w:sz="1" w:space="0" w:color="000000"/>
              <w:right w:val="single" w:sz="1" w:space="0" w:color="000000"/>
            </w:tcBorders>
          </w:tcPr>
          <w:p w14:paraId="2D38E101" w14:textId="77777777" w:rsidR="00C95A74" w:rsidRDefault="00000000">
            <w:pPr>
              <w:jc w:val="center"/>
            </w:pPr>
            <w:r>
              <w:t>98.95%</w:t>
            </w:r>
          </w:p>
        </w:tc>
        <w:tc>
          <w:tcPr>
            <w:tcW w:w="1404" w:type="dxa"/>
            <w:tcBorders>
              <w:top w:val="single" w:sz="1" w:space="0" w:color="000000"/>
              <w:left w:val="single" w:sz="1" w:space="0" w:color="000000"/>
              <w:bottom w:val="single" w:sz="1" w:space="0" w:color="000000"/>
              <w:right w:val="single" w:sz="1" w:space="0" w:color="000000"/>
            </w:tcBorders>
          </w:tcPr>
          <w:p w14:paraId="7A1C9F61" w14:textId="77777777" w:rsidR="00C95A74" w:rsidRDefault="00000000">
            <w:pPr>
              <w:jc w:val="center"/>
            </w:pPr>
            <w:r>
              <w:t>99.3%</w:t>
            </w:r>
          </w:p>
        </w:tc>
        <w:tc>
          <w:tcPr>
            <w:tcW w:w="1404" w:type="dxa"/>
            <w:tcBorders>
              <w:top w:val="single" w:sz="1" w:space="0" w:color="000000"/>
              <w:left w:val="single" w:sz="1" w:space="0" w:color="000000"/>
              <w:bottom w:val="single" w:sz="1" w:space="0" w:color="000000"/>
              <w:right w:val="single" w:sz="1" w:space="0" w:color="000000"/>
            </w:tcBorders>
          </w:tcPr>
          <w:p w14:paraId="371B3909" w14:textId="77777777" w:rsidR="00C95A74" w:rsidRDefault="00000000">
            <w:pPr>
              <w:jc w:val="center"/>
            </w:pPr>
            <w:r>
              <w:t>97.18%</w:t>
            </w:r>
          </w:p>
        </w:tc>
        <w:tc>
          <w:tcPr>
            <w:tcW w:w="1404" w:type="dxa"/>
            <w:tcBorders>
              <w:top w:val="single" w:sz="1" w:space="0" w:color="000000"/>
              <w:left w:val="single" w:sz="1" w:space="0" w:color="000000"/>
              <w:bottom w:val="single" w:sz="1" w:space="0" w:color="000000"/>
              <w:right w:val="single" w:sz="1" w:space="0" w:color="000000"/>
            </w:tcBorders>
          </w:tcPr>
          <w:p w14:paraId="2A67DE38" w14:textId="77777777" w:rsidR="00C95A74" w:rsidRDefault="00000000">
            <w:pPr>
              <w:jc w:val="center"/>
            </w:pPr>
            <w:r>
              <w:t>98.22%</w:t>
            </w:r>
          </w:p>
        </w:tc>
        <w:tc>
          <w:tcPr>
            <w:tcW w:w="1404" w:type="dxa"/>
            <w:tcBorders>
              <w:top w:val="single" w:sz="1" w:space="0" w:color="000000"/>
              <w:left w:val="single" w:sz="1" w:space="0" w:color="000000"/>
              <w:bottom w:val="single" w:sz="1" w:space="0" w:color="000000"/>
              <w:right w:val="single" w:sz="1" w:space="0" w:color="000000"/>
            </w:tcBorders>
          </w:tcPr>
          <w:p w14:paraId="6DC4DCEA" w14:textId="77777777" w:rsidR="00C95A74" w:rsidRDefault="00000000">
            <w:pPr>
              <w:jc w:val="center"/>
            </w:pPr>
            <w:r>
              <w:t>0.9982</w:t>
            </w:r>
          </w:p>
        </w:tc>
      </w:tr>
      <w:tr w:rsidR="00C95A74" w14:paraId="5C9E9BBF" w14:textId="77777777">
        <w:tc>
          <w:tcPr>
            <w:tcW w:w="2340" w:type="dxa"/>
            <w:tcBorders>
              <w:top w:val="single" w:sz="1" w:space="0" w:color="000000"/>
              <w:left w:val="single" w:sz="1" w:space="0" w:color="000000"/>
              <w:bottom w:val="single" w:sz="1" w:space="0" w:color="000000"/>
              <w:right w:val="single" w:sz="1" w:space="0" w:color="000000"/>
            </w:tcBorders>
          </w:tcPr>
          <w:p w14:paraId="43454975" w14:textId="77777777" w:rsidR="00C95A74" w:rsidRDefault="00000000">
            <w:r>
              <w:t>XGBoost</w:t>
            </w:r>
          </w:p>
        </w:tc>
        <w:tc>
          <w:tcPr>
            <w:tcW w:w="1404" w:type="dxa"/>
            <w:tcBorders>
              <w:top w:val="single" w:sz="1" w:space="0" w:color="000000"/>
              <w:left w:val="single" w:sz="1" w:space="0" w:color="000000"/>
              <w:bottom w:val="single" w:sz="1" w:space="0" w:color="000000"/>
              <w:right w:val="single" w:sz="1" w:space="0" w:color="000000"/>
            </w:tcBorders>
          </w:tcPr>
          <w:p w14:paraId="541FE4B8" w14:textId="77777777" w:rsidR="00C95A74" w:rsidRDefault="00000000">
            <w:pPr>
              <w:jc w:val="center"/>
            </w:pPr>
            <w:r>
              <w:t>98.77%</w:t>
            </w:r>
          </w:p>
        </w:tc>
        <w:tc>
          <w:tcPr>
            <w:tcW w:w="1404" w:type="dxa"/>
            <w:tcBorders>
              <w:top w:val="single" w:sz="1" w:space="0" w:color="000000"/>
              <w:left w:val="single" w:sz="1" w:space="0" w:color="000000"/>
              <w:bottom w:val="single" w:sz="1" w:space="0" w:color="000000"/>
              <w:right w:val="single" w:sz="1" w:space="0" w:color="000000"/>
            </w:tcBorders>
          </w:tcPr>
          <w:p w14:paraId="6696512A" w14:textId="77777777" w:rsidR="00C95A74" w:rsidRDefault="00000000">
            <w:pPr>
              <w:jc w:val="center"/>
            </w:pPr>
            <w:r>
              <w:t>98.6%</w:t>
            </w:r>
          </w:p>
        </w:tc>
        <w:tc>
          <w:tcPr>
            <w:tcW w:w="1404" w:type="dxa"/>
            <w:tcBorders>
              <w:top w:val="single" w:sz="1" w:space="0" w:color="000000"/>
              <w:left w:val="single" w:sz="1" w:space="0" w:color="000000"/>
              <w:bottom w:val="single" w:sz="1" w:space="0" w:color="000000"/>
              <w:right w:val="single" w:sz="1" w:space="0" w:color="000000"/>
            </w:tcBorders>
          </w:tcPr>
          <w:p w14:paraId="2FB4AECC" w14:textId="77777777" w:rsidR="00C95A74" w:rsidRDefault="00000000">
            <w:pPr>
              <w:jc w:val="center"/>
            </w:pPr>
            <w:r>
              <w:t>97.89%</w:t>
            </w:r>
          </w:p>
        </w:tc>
        <w:tc>
          <w:tcPr>
            <w:tcW w:w="1404" w:type="dxa"/>
            <w:tcBorders>
              <w:top w:val="single" w:sz="1" w:space="0" w:color="000000"/>
              <w:left w:val="single" w:sz="1" w:space="0" w:color="000000"/>
              <w:bottom w:val="single" w:sz="1" w:space="0" w:color="000000"/>
              <w:right w:val="single" w:sz="1" w:space="0" w:color="000000"/>
            </w:tcBorders>
          </w:tcPr>
          <w:p w14:paraId="41A28939" w14:textId="77777777" w:rsidR="00C95A74" w:rsidRDefault="00000000">
            <w:pPr>
              <w:jc w:val="center"/>
            </w:pPr>
            <w:r>
              <w:t>98.24%</w:t>
            </w:r>
          </w:p>
        </w:tc>
        <w:tc>
          <w:tcPr>
            <w:tcW w:w="1404" w:type="dxa"/>
            <w:tcBorders>
              <w:top w:val="single" w:sz="1" w:space="0" w:color="000000"/>
              <w:left w:val="single" w:sz="1" w:space="0" w:color="000000"/>
              <w:bottom w:val="single" w:sz="1" w:space="0" w:color="000000"/>
              <w:right w:val="single" w:sz="1" w:space="0" w:color="000000"/>
            </w:tcBorders>
          </w:tcPr>
          <w:p w14:paraId="137723A1" w14:textId="77777777" w:rsidR="00C95A74" w:rsidRDefault="00000000">
            <w:pPr>
              <w:jc w:val="center"/>
            </w:pPr>
            <w:r>
              <w:t>0.9976</w:t>
            </w:r>
          </w:p>
        </w:tc>
      </w:tr>
      <w:tr w:rsidR="00C95A74" w14:paraId="1B7D93BE" w14:textId="77777777">
        <w:tc>
          <w:tcPr>
            <w:tcW w:w="2340" w:type="dxa"/>
            <w:tcBorders>
              <w:top w:val="single" w:sz="1" w:space="0" w:color="000000"/>
              <w:left w:val="single" w:sz="1" w:space="0" w:color="000000"/>
              <w:bottom w:val="single" w:sz="1" w:space="0" w:color="000000"/>
              <w:right w:val="single" w:sz="1" w:space="0" w:color="000000"/>
            </w:tcBorders>
          </w:tcPr>
          <w:p w14:paraId="4BC9DA6F" w14:textId="77777777" w:rsidR="00C95A74" w:rsidRDefault="00000000">
            <w:r>
              <w:t>Voting Classifier</w:t>
            </w:r>
          </w:p>
        </w:tc>
        <w:tc>
          <w:tcPr>
            <w:tcW w:w="1404" w:type="dxa"/>
            <w:tcBorders>
              <w:top w:val="single" w:sz="1" w:space="0" w:color="000000"/>
              <w:left w:val="single" w:sz="1" w:space="0" w:color="000000"/>
              <w:bottom w:val="single" w:sz="1" w:space="0" w:color="000000"/>
              <w:right w:val="single" w:sz="1" w:space="0" w:color="000000"/>
            </w:tcBorders>
          </w:tcPr>
          <w:p w14:paraId="19CDAB52" w14:textId="77777777" w:rsidR="00C95A74" w:rsidRDefault="00000000">
            <w:pPr>
              <w:jc w:val="center"/>
            </w:pPr>
            <w:r>
              <w:t>98.60%</w:t>
            </w:r>
          </w:p>
        </w:tc>
        <w:tc>
          <w:tcPr>
            <w:tcW w:w="1404" w:type="dxa"/>
            <w:tcBorders>
              <w:top w:val="single" w:sz="1" w:space="0" w:color="000000"/>
              <w:left w:val="single" w:sz="1" w:space="0" w:color="000000"/>
              <w:bottom w:val="single" w:sz="1" w:space="0" w:color="000000"/>
              <w:right w:val="single" w:sz="1" w:space="0" w:color="000000"/>
            </w:tcBorders>
          </w:tcPr>
          <w:p w14:paraId="023217D9" w14:textId="77777777" w:rsidR="00C95A74" w:rsidRDefault="00000000">
            <w:pPr>
              <w:jc w:val="center"/>
            </w:pPr>
            <w:r>
              <w:t>98.6%</w:t>
            </w:r>
          </w:p>
        </w:tc>
        <w:tc>
          <w:tcPr>
            <w:tcW w:w="1404" w:type="dxa"/>
            <w:tcBorders>
              <w:top w:val="single" w:sz="1" w:space="0" w:color="000000"/>
              <w:left w:val="single" w:sz="1" w:space="0" w:color="000000"/>
              <w:bottom w:val="single" w:sz="1" w:space="0" w:color="000000"/>
              <w:right w:val="single" w:sz="1" w:space="0" w:color="000000"/>
            </w:tcBorders>
          </w:tcPr>
          <w:p w14:paraId="56C99601" w14:textId="77777777" w:rsidR="00C95A74" w:rsidRDefault="00000000">
            <w:pPr>
              <w:jc w:val="center"/>
            </w:pPr>
            <w:r>
              <w:t>97.18%</w:t>
            </w:r>
          </w:p>
        </w:tc>
        <w:tc>
          <w:tcPr>
            <w:tcW w:w="1404" w:type="dxa"/>
            <w:tcBorders>
              <w:top w:val="single" w:sz="1" w:space="0" w:color="000000"/>
              <w:left w:val="single" w:sz="1" w:space="0" w:color="000000"/>
              <w:bottom w:val="single" w:sz="1" w:space="0" w:color="000000"/>
              <w:right w:val="single" w:sz="1" w:space="0" w:color="000000"/>
            </w:tcBorders>
          </w:tcPr>
          <w:p w14:paraId="0E8C8AB9" w14:textId="77777777" w:rsidR="00C95A74" w:rsidRDefault="00000000">
            <w:pPr>
              <w:jc w:val="center"/>
            </w:pPr>
            <w:r>
              <w:t>97.88%</w:t>
            </w:r>
          </w:p>
        </w:tc>
        <w:tc>
          <w:tcPr>
            <w:tcW w:w="1404" w:type="dxa"/>
            <w:tcBorders>
              <w:top w:val="single" w:sz="1" w:space="0" w:color="000000"/>
              <w:left w:val="single" w:sz="1" w:space="0" w:color="000000"/>
              <w:bottom w:val="single" w:sz="1" w:space="0" w:color="000000"/>
              <w:right w:val="single" w:sz="1" w:space="0" w:color="000000"/>
            </w:tcBorders>
          </w:tcPr>
          <w:p w14:paraId="40B283F8" w14:textId="77777777" w:rsidR="00C95A74" w:rsidRDefault="00000000">
            <w:pPr>
              <w:jc w:val="center"/>
            </w:pPr>
            <w:r>
              <w:t>0.9971</w:t>
            </w:r>
          </w:p>
        </w:tc>
      </w:tr>
      <w:tr w:rsidR="00C95A74" w14:paraId="76ACCB64" w14:textId="77777777">
        <w:tc>
          <w:tcPr>
            <w:tcW w:w="2340" w:type="dxa"/>
            <w:tcBorders>
              <w:top w:val="single" w:sz="1" w:space="0" w:color="000000"/>
              <w:left w:val="single" w:sz="1" w:space="0" w:color="000000"/>
              <w:bottom w:val="single" w:sz="1" w:space="0" w:color="000000"/>
              <w:right w:val="single" w:sz="1" w:space="0" w:color="000000"/>
            </w:tcBorders>
          </w:tcPr>
          <w:p w14:paraId="3B99A0E9" w14:textId="77777777" w:rsidR="00C95A74" w:rsidRDefault="00000000">
            <w:r>
              <w:t>LightGBM</w:t>
            </w:r>
          </w:p>
        </w:tc>
        <w:tc>
          <w:tcPr>
            <w:tcW w:w="1404" w:type="dxa"/>
            <w:tcBorders>
              <w:top w:val="single" w:sz="1" w:space="0" w:color="000000"/>
              <w:left w:val="single" w:sz="1" w:space="0" w:color="000000"/>
              <w:bottom w:val="single" w:sz="1" w:space="0" w:color="000000"/>
              <w:right w:val="single" w:sz="1" w:space="0" w:color="000000"/>
            </w:tcBorders>
          </w:tcPr>
          <w:p w14:paraId="0FBEF007" w14:textId="77777777" w:rsidR="00C95A74" w:rsidRDefault="00000000">
            <w:pPr>
              <w:jc w:val="center"/>
            </w:pPr>
            <w:r>
              <w:t>98.25%</w:t>
            </w:r>
          </w:p>
        </w:tc>
        <w:tc>
          <w:tcPr>
            <w:tcW w:w="1404" w:type="dxa"/>
            <w:tcBorders>
              <w:top w:val="single" w:sz="1" w:space="0" w:color="000000"/>
              <w:left w:val="single" w:sz="1" w:space="0" w:color="000000"/>
              <w:bottom w:val="single" w:sz="1" w:space="0" w:color="000000"/>
              <w:right w:val="single" w:sz="1" w:space="0" w:color="000000"/>
            </w:tcBorders>
          </w:tcPr>
          <w:p w14:paraId="2B0AE6CE" w14:textId="77777777" w:rsidR="00C95A74" w:rsidRDefault="00000000">
            <w:pPr>
              <w:jc w:val="center"/>
            </w:pPr>
            <w:r>
              <w:t>97.2%</w:t>
            </w:r>
          </w:p>
        </w:tc>
        <w:tc>
          <w:tcPr>
            <w:tcW w:w="1404" w:type="dxa"/>
            <w:tcBorders>
              <w:top w:val="single" w:sz="1" w:space="0" w:color="000000"/>
              <w:left w:val="single" w:sz="1" w:space="0" w:color="000000"/>
              <w:bottom w:val="single" w:sz="1" w:space="0" w:color="000000"/>
              <w:right w:val="single" w:sz="1" w:space="0" w:color="000000"/>
            </w:tcBorders>
          </w:tcPr>
          <w:p w14:paraId="5C453165" w14:textId="77777777" w:rsidR="00C95A74" w:rsidRDefault="00000000">
            <w:pPr>
              <w:jc w:val="center"/>
            </w:pPr>
            <w:r>
              <w:t>98.59%</w:t>
            </w:r>
          </w:p>
        </w:tc>
        <w:tc>
          <w:tcPr>
            <w:tcW w:w="1404" w:type="dxa"/>
            <w:tcBorders>
              <w:top w:val="single" w:sz="1" w:space="0" w:color="000000"/>
              <w:left w:val="single" w:sz="1" w:space="0" w:color="000000"/>
              <w:bottom w:val="single" w:sz="1" w:space="0" w:color="000000"/>
              <w:right w:val="single" w:sz="1" w:space="0" w:color="000000"/>
            </w:tcBorders>
          </w:tcPr>
          <w:p w14:paraId="6584D13F" w14:textId="77777777" w:rsidR="00C95A74" w:rsidRDefault="00000000">
            <w:pPr>
              <w:jc w:val="center"/>
            </w:pPr>
            <w:r>
              <w:t>97.89%</w:t>
            </w:r>
          </w:p>
        </w:tc>
        <w:tc>
          <w:tcPr>
            <w:tcW w:w="1404" w:type="dxa"/>
            <w:tcBorders>
              <w:top w:val="single" w:sz="1" w:space="0" w:color="000000"/>
              <w:left w:val="single" w:sz="1" w:space="0" w:color="000000"/>
              <w:bottom w:val="single" w:sz="1" w:space="0" w:color="000000"/>
              <w:right w:val="single" w:sz="1" w:space="0" w:color="000000"/>
            </w:tcBorders>
          </w:tcPr>
          <w:p w14:paraId="335C4AC2" w14:textId="77777777" w:rsidR="00C95A74" w:rsidRDefault="00000000">
            <w:pPr>
              <w:jc w:val="center"/>
            </w:pPr>
            <w:r>
              <w:t>0.9968</w:t>
            </w:r>
          </w:p>
        </w:tc>
      </w:tr>
      <w:tr w:rsidR="00C95A74" w14:paraId="66042923" w14:textId="77777777">
        <w:tc>
          <w:tcPr>
            <w:tcW w:w="2340" w:type="dxa"/>
            <w:tcBorders>
              <w:top w:val="single" w:sz="1" w:space="0" w:color="000000"/>
              <w:left w:val="single" w:sz="1" w:space="0" w:color="000000"/>
              <w:bottom w:val="single" w:sz="1" w:space="0" w:color="000000"/>
              <w:right w:val="single" w:sz="1" w:space="0" w:color="000000"/>
            </w:tcBorders>
          </w:tcPr>
          <w:p w14:paraId="5E03B024" w14:textId="77777777" w:rsidR="00C95A74" w:rsidRDefault="00000000">
            <w:r>
              <w:t>Random Forest</w:t>
            </w:r>
          </w:p>
        </w:tc>
        <w:tc>
          <w:tcPr>
            <w:tcW w:w="1404" w:type="dxa"/>
            <w:tcBorders>
              <w:top w:val="single" w:sz="1" w:space="0" w:color="000000"/>
              <w:left w:val="single" w:sz="1" w:space="0" w:color="000000"/>
              <w:bottom w:val="single" w:sz="1" w:space="0" w:color="000000"/>
              <w:right w:val="single" w:sz="1" w:space="0" w:color="000000"/>
            </w:tcBorders>
          </w:tcPr>
          <w:p w14:paraId="4E8935CF" w14:textId="77777777" w:rsidR="00C95A74" w:rsidRDefault="00000000">
            <w:pPr>
              <w:jc w:val="center"/>
            </w:pPr>
            <w:r>
              <w:t>96.49%</w:t>
            </w:r>
          </w:p>
        </w:tc>
        <w:tc>
          <w:tcPr>
            <w:tcW w:w="1404" w:type="dxa"/>
            <w:tcBorders>
              <w:top w:val="single" w:sz="1" w:space="0" w:color="000000"/>
              <w:left w:val="single" w:sz="1" w:space="0" w:color="000000"/>
              <w:bottom w:val="single" w:sz="1" w:space="0" w:color="000000"/>
              <w:right w:val="single" w:sz="1" w:space="0" w:color="000000"/>
            </w:tcBorders>
          </w:tcPr>
          <w:p w14:paraId="00E23326" w14:textId="77777777" w:rsidR="00C95A74" w:rsidRDefault="00000000">
            <w:pPr>
              <w:jc w:val="center"/>
            </w:pPr>
            <w:r>
              <w:t>95.8%</w:t>
            </w:r>
          </w:p>
        </w:tc>
        <w:tc>
          <w:tcPr>
            <w:tcW w:w="1404" w:type="dxa"/>
            <w:tcBorders>
              <w:top w:val="single" w:sz="1" w:space="0" w:color="000000"/>
              <w:left w:val="single" w:sz="1" w:space="0" w:color="000000"/>
              <w:bottom w:val="single" w:sz="1" w:space="0" w:color="000000"/>
              <w:right w:val="single" w:sz="1" w:space="0" w:color="000000"/>
            </w:tcBorders>
          </w:tcPr>
          <w:p w14:paraId="00D0F055" w14:textId="77777777" w:rsidR="00C95A74" w:rsidRDefault="00000000">
            <w:pPr>
              <w:jc w:val="center"/>
            </w:pPr>
            <w:r>
              <w:t>95.77%</w:t>
            </w:r>
          </w:p>
        </w:tc>
        <w:tc>
          <w:tcPr>
            <w:tcW w:w="1404" w:type="dxa"/>
            <w:tcBorders>
              <w:top w:val="single" w:sz="1" w:space="0" w:color="000000"/>
              <w:left w:val="single" w:sz="1" w:space="0" w:color="000000"/>
              <w:bottom w:val="single" w:sz="1" w:space="0" w:color="000000"/>
              <w:right w:val="single" w:sz="1" w:space="0" w:color="000000"/>
            </w:tcBorders>
          </w:tcPr>
          <w:p w14:paraId="6AA090D8" w14:textId="77777777" w:rsidR="00C95A74" w:rsidRDefault="00000000">
            <w:pPr>
              <w:jc w:val="center"/>
            </w:pPr>
            <w:r>
              <w:t>95.78%</w:t>
            </w:r>
          </w:p>
        </w:tc>
        <w:tc>
          <w:tcPr>
            <w:tcW w:w="1404" w:type="dxa"/>
            <w:tcBorders>
              <w:top w:val="single" w:sz="1" w:space="0" w:color="000000"/>
              <w:left w:val="single" w:sz="1" w:space="0" w:color="000000"/>
              <w:bottom w:val="single" w:sz="1" w:space="0" w:color="000000"/>
              <w:right w:val="single" w:sz="1" w:space="0" w:color="000000"/>
            </w:tcBorders>
          </w:tcPr>
          <w:p w14:paraId="2CE19B00" w14:textId="77777777" w:rsidR="00C95A74" w:rsidRDefault="00000000">
            <w:pPr>
              <w:jc w:val="center"/>
            </w:pPr>
            <w:r>
              <w:t>0.9912</w:t>
            </w:r>
          </w:p>
        </w:tc>
      </w:tr>
      <w:tr w:rsidR="00C95A74" w14:paraId="07A093BD" w14:textId="77777777">
        <w:tc>
          <w:tcPr>
            <w:tcW w:w="2340" w:type="dxa"/>
            <w:tcBorders>
              <w:top w:val="single" w:sz="1" w:space="0" w:color="000000"/>
              <w:left w:val="single" w:sz="1" w:space="0" w:color="000000"/>
              <w:bottom w:val="single" w:sz="1" w:space="0" w:color="000000"/>
              <w:right w:val="single" w:sz="1" w:space="0" w:color="000000"/>
            </w:tcBorders>
          </w:tcPr>
          <w:p w14:paraId="48AB1143" w14:textId="77777777" w:rsidR="00C95A74" w:rsidRDefault="00000000">
            <w:r>
              <w:t>Gradient Boosting</w:t>
            </w:r>
          </w:p>
        </w:tc>
        <w:tc>
          <w:tcPr>
            <w:tcW w:w="1404" w:type="dxa"/>
            <w:tcBorders>
              <w:top w:val="single" w:sz="1" w:space="0" w:color="000000"/>
              <w:left w:val="single" w:sz="1" w:space="0" w:color="000000"/>
              <w:bottom w:val="single" w:sz="1" w:space="0" w:color="000000"/>
              <w:right w:val="single" w:sz="1" w:space="0" w:color="000000"/>
            </w:tcBorders>
          </w:tcPr>
          <w:p w14:paraId="65C2003E" w14:textId="77777777" w:rsidR="00C95A74" w:rsidRDefault="00000000">
            <w:pPr>
              <w:jc w:val="center"/>
            </w:pPr>
            <w:r>
              <w:t>96.49%</w:t>
            </w:r>
          </w:p>
        </w:tc>
        <w:tc>
          <w:tcPr>
            <w:tcW w:w="1404" w:type="dxa"/>
            <w:tcBorders>
              <w:top w:val="single" w:sz="1" w:space="0" w:color="000000"/>
              <w:left w:val="single" w:sz="1" w:space="0" w:color="000000"/>
              <w:bottom w:val="single" w:sz="1" w:space="0" w:color="000000"/>
              <w:right w:val="single" w:sz="1" w:space="0" w:color="000000"/>
            </w:tcBorders>
          </w:tcPr>
          <w:p w14:paraId="5E90409C" w14:textId="77777777" w:rsidR="00C95A74" w:rsidRDefault="00000000">
            <w:pPr>
              <w:jc w:val="center"/>
            </w:pPr>
            <w:r>
              <w:t>94.4%</w:t>
            </w:r>
          </w:p>
        </w:tc>
        <w:tc>
          <w:tcPr>
            <w:tcW w:w="1404" w:type="dxa"/>
            <w:tcBorders>
              <w:top w:val="single" w:sz="1" w:space="0" w:color="000000"/>
              <w:left w:val="single" w:sz="1" w:space="0" w:color="000000"/>
              <w:bottom w:val="single" w:sz="1" w:space="0" w:color="000000"/>
              <w:right w:val="single" w:sz="1" w:space="0" w:color="000000"/>
            </w:tcBorders>
          </w:tcPr>
          <w:p w14:paraId="5F0B84B3" w14:textId="77777777" w:rsidR="00C95A74" w:rsidRDefault="00000000">
            <w:pPr>
              <w:jc w:val="center"/>
            </w:pPr>
            <w:r>
              <w:t>97.18%</w:t>
            </w:r>
          </w:p>
        </w:tc>
        <w:tc>
          <w:tcPr>
            <w:tcW w:w="1404" w:type="dxa"/>
            <w:tcBorders>
              <w:top w:val="single" w:sz="1" w:space="0" w:color="000000"/>
              <w:left w:val="single" w:sz="1" w:space="0" w:color="000000"/>
              <w:bottom w:val="single" w:sz="1" w:space="0" w:color="000000"/>
              <w:right w:val="single" w:sz="1" w:space="0" w:color="000000"/>
            </w:tcBorders>
          </w:tcPr>
          <w:p w14:paraId="57EEB3AC" w14:textId="77777777" w:rsidR="00C95A74" w:rsidRDefault="00000000">
            <w:pPr>
              <w:jc w:val="center"/>
            </w:pPr>
            <w:r>
              <w:t>95.77%</w:t>
            </w:r>
          </w:p>
        </w:tc>
        <w:tc>
          <w:tcPr>
            <w:tcW w:w="1404" w:type="dxa"/>
            <w:tcBorders>
              <w:top w:val="single" w:sz="1" w:space="0" w:color="000000"/>
              <w:left w:val="single" w:sz="1" w:space="0" w:color="000000"/>
              <w:bottom w:val="single" w:sz="1" w:space="0" w:color="000000"/>
              <w:right w:val="single" w:sz="1" w:space="0" w:color="000000"/>
            </w:tcBorders>
          </w:tcPr>
          <w:p w14:paraId="7B6FB5DB" w14:textId="77777777" w:rsidR="00C95A74" w:rsidRDefault="00000000">
            <w:pPr>
              <w:jc w:val="center"/>
            </w:pPr>
            <w:r>
              <w:t>0.9901</w:t>
            </w:r>
          </w:p>
        </w:tc>
      </w:tr>
      <w:tr w:rsidR="00C95A74" w14:paraId="73B22C66" w14:textId="77777777">
        <w:tc>
          <w:tcPr>
            <w:tcW w:w="2340" w:type="dxa"/>
            <w:tcBorders>
              <w:top w:val="single" w:sz="1" w:space="0" w:color="000000"/>
              <w:left w:val="single" w:sz="1" w:space="0" w:color="000000"/>
              <w:bottom w:val="single" w:sz="1" w:space="0" w:color="000000"/>
              <w:right w:val="single" w:sz="1" w:space="0" w:color="000000"/>
            </w:tcBorders>
          </w:tcPr>
          <w:p w14:paraId="365072D5" w14:textId="77777777" w:rsidR="00C95A74" w:rsidRDefault="00000000">
            <w:r>
              <w:t>Bagging</w:t>
            </w:r>
          </w:p>
        </w:tc>
        <w:tc>
          <w:tcPr>
            <w:tcW w:w="1404" w:type="dxa"/>
            <w:tcBorders>
              <w:top w:val="single" w:sz="1" w:space="0" w:color="000000"/>
              <w:left w:val="single" w:sz="1" w:space="0" w:color="000000"/>
              <w:bottom w:val="single" w:sz="1" w:space="0" w:color="000000"/>
              <w:right w:val="single" w:sz="1" w:space="0" w:color="000000"/>
            </w:tcBorders>
          </w:tcPr>
          <w:p w14:paraId="47521F8F" w14:textId="77777777" w:rsidR="00C95A74" w:rsidRDefault="00000000">
            <w:pPr>
              <w:jc w:val="center"/>
            </w:pPr>
            <w:r>
              <w:t>96.14%</w:t>
            </w:r>
          </w:p>
        </w:tc>
        <w:tc>
          <w:tcPr>
            <w:tcW w:w="1404" w:type="dxa"/>
            <w:tcBorders>
              <w:top w:val="single" w:sz="1" w:space="0" w:color="000000"/>
              <w:left w:val="single" w:sz="1" w:space="0" w:color="000000"/>
              <w:bottom w:val="single" w:sz="1" w:space="0" w:color="000000"/>
              <w:right w:val="single" w:sz="1" w:space="0" w:color="000000"/>
            </w:tcBorders>
          </w:tcPr>
          <w:p w14:paraId="3491840C" w14:textId="77777777" w:rsidR="00C95A74" w:rsidRDefault="00000000">
            <w:pPr>
              <w:jc w:val="center"/>
            </w:pPr>
            <w:r>
              <w:t>94.4%</w:t>
            </w:r>
          </w:p>
        </w:tc>
        <w:tc>
          <w:tcPr>
            <w:tcW w:w="1404" w:type="dxa"/>
            <w:tcBorders>
              <w:top w:val="single" w:sz="1" w:space="0" w:color="000000"/>
              <w:left w:val="single" w:sz="1" w:space="0" w:color="000000"/>
              <w:bottom w:val="single" w:sz="1" w:space="0" w:color="000000"/>
              <w:right w:val="single" w:sz="1" w:space="0" w:color="000000"/>
            </w:tcBorders>
          </w:tcPr>
          <w:p w14:paraId="4D8384B2" w14:textId="77777777" w:rsidR="00C95A74" w:rsidRDefault="00000000">
            <w:pPr>
              <w:jc w:val="center"/>
            </w:pPr>
            <w:r>
              <w:t>95.77%</w:t>
            </w:r>
          </w:p>
        </w:tc>
        <w:tc>
          <w:tcPr>
            <w:tcW w:w="1404" w:type="dxa"/>
            <w:tcBorders>
              <w:top w:val="single" w:sz="1" w:space="0" w:color="000000"/>
              <w:left w:val="single" w:sz="1" w:space="0" w:color="000000"/>
              <w:bottom w:val="single" w:sz="1" w:space="0" w:color="000000"/>
              <w:right w:val="single" w:sz="1" w:space="0" w:color="000000"/>
            </w:tcBorders>
          </w:tcPr>
          <w:p w14:paraId="49866D51" w14:textId="77777777" w:rsidR="00C95A74" w:rsidRDefault="00000000">
            <w:pPr>
              <w:jc w:val="center"/>
            </w:pPr>
            <w:r>
              <w:t>95.08%</w:t>
            </w:r>
          </w:p>
        </w:tc>
        <w:tc>
          <w:tcPr>
            <w:tcW w:w="1404" w:type="dxa"/>
            <w:tcBorders>
              <w:top w:val="single" w:sz="1" w:space="0" w:color="000000"/>
              <w:left w:val="single" w:sz="1" w:space="0" w:color="000000"/>
              <w:bottom w:val="single" w:sz="1" w:space="0" w:color="000000"/>
              <w:right w:val="single" w:sz="1" w:space="0" w:color="000000"/>
            </w:tcBorders>
          </w:tcPr>
          <w:p w14:paraId="451C8F4C" w14:textId="77777777" w:rsidR="00C95A74" w:rsidRDefault="00000000">
            <w:pPr>
              <w:jc w:val="center"/>
            </w:pPr>
            <w:r>
              <w:t>0.9889</w:t>
            </w:r>
          </w:p>
        </w:tc>
      </w:tr>
    </w:tbl>
    <w:p w14:paraId="155E4470" w14:textId="77777777" w:rsidR="00C95A74" w:rsidRDefault="00000000">
      <w:pPr>
        <w:pStyle w:val="Caption"/>
      </w:pPr>
      <w:r>
        <w:t>Performance comparison of eight ensemble methods on breast cancer classification with SMOTE-balanced training data and stratified 5-fold cross-validation.</w:t>
      </w:r>
    </w:p>
    <w:p w14:paraId="5C742812" w14:textId="77777777" w:rsidR="00C95A74" w:rsidRDefault="00000000">
      <w:pPr>
        <w:pStyle w:val="Heading1"/>
      </w:pPr>
      <w:r>
        <w:t>5. CONCLUSION</w:t>
      </w:r>
    </w:p>
    <w:p w14:paraId="6F321AE5" w14:textId="77777777" w:rsidR="00C95A74" w:rsidRDefault="00000000">
      <w:pPr>
        <w:pStyle w:val="BodyText"/>
      </w:pPr>
      <w:r>
        <w:t>This comprehensive investigation demonstrated that ensemble learning methods, particularly AdaBoost, achieve exceptional performance on breast cancer classification tasks. The optimal model achieved 99.12% accuracy with perfect precision (100%) and high recall (98.6%), providing clinically actionable diagnostic support. SMOTE implementation successfully addressed class imbalance, improving minority class detection by 3.8-6.6% across all models. Feature importance analysis revealed that extreme morphological characteristics ('worst' features) provide superior discriminative capability compared to average measurements, with concave_points_worst, perimeter_worst, and concave_points_mean emerging as the most critical diagnostic indicators.</w:t>
      </w:r>
    </w:p>
    <w:p w14:paraId="703EB3A8" w14:textId="77777777" w:rsidR="00C95A74" w:rsidRDefault="00000000">
      <w:pPr>
        <w:pStyle w:val="BodyText"/>
      </w:pPr>
      <w:r>
        <w:t>These findings establish ensemble methods as highly effective approaches for breast cancer classification, with performance metrics suitable for clinical decision support system deployment. Future research directions include: (1) external validation on independent datasets to assess generalizability, (2) integration with deep learning approaches for multi-modal analysis combining cytological features with imaging data, (3) cost-sensitive learning incorporating clinical decision costs, and (4) development of interpretable ensemble methods providing diagnostic rationales for clinical acceptance.</w:t>
      </w:r>
    </w:p>
    <w:sectPr w:rsidR="00C95A7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90BCA"/>
    <w:multiLevelType w:val="hybridMultilevel"/>
    <w:tmpl w:val="EF5ADC78"/>
    <w:lvl w:ilvl="0" w:tplc="7E723776">
      <w:start w:val="1"/>
      <w:numFmt w:val="bullet"/>
      <w:lvlText w:val="•"/>
      <w:lvlJc w:val="left"/>
      <w:pPr>
        <w:ind w:left="720" w:hanging="360"/>
      </w:pPr>
    </w:lvl>
    <w:lvl w:ilvl="1" w:tplc="1C147C52">
      <w:numFmt w:val="decimal"/>
      <w:lvlText w:val=""/>
      <w:lvlJc w:val="left"/>
    </w:lvl>
    <w:lvl w:ilvl="2" w:tplc="DE3E7934">
      <w:numFmt w:val="decimal"/>
      <w:lvlText w:val=""/>
      <w:lvlJc w:val="left"/>
    </w:lvl>
    <w:lvl w:ilvl="3" w:tplc="28E657FC">
      <w:numFmt w:val="decimal"/>
      <w:lvlText w:val=""/>
      <w:lvlJc w:val="left"/>
    </w:lvl>
    <w:lvl w:ilvl="4" w:tplc="BB649BA0">
      <w:numFmt w:val="decimal"/>
      <w:lvlText w:val=""/>
      <w:lvlJc w:val="left"/>
    </w:lvl>
    <w:lvl w:ilvl="5" w:tplc="B156A514">
      <w:numFmt w:val="decimal"/>
      <w:lvlText w:val=""/>
      <w:lvlJc w:val="left"/>
    </w:lvl>
    <w:lvl w:ilvl="6" w:tplc="931E594C">
      <w:numFmt w:val="decimal"/>
      <w:lvlText w:val=""/>
      <w:lvlJc w:val="left"/>
    </w:lvl>
    <w:lvl w:ilvl="7" w:tplc="32266356">
      <w:numFmt w:val="decimal"/>
      <w:lvlText w:val=""/>
      <w:lvlJc w:val="left"/>
    </w:lvl>
    <w:lvl w:ilvl="8" w:tplc="6F6C1C0C">
      <w:numFmt w:val="decimal"/>
      <w:lvlText w:val=""/>
      <w:lvlJc w:val="left"/>
    </w:lvl>
  </w:abstractNum>
  <w:abstractNum w:abstractNumId="1" w15:restartNumberingAfterBreak="0">
    <w:nsid w:val="42AA3648"/>
    <w:multiLevelType w:val="hybridMultilevel"/>
    <w:tmpl w:val="658AD1DA"/>
    <w:lvl w:ilvl="0" w:tplc="4D46F9EA">
      <w:start w:val="1"/>
      <w:numFmt w:val="bullet"/>
      <w:lvlText w:val="●"/>
      <w:lvlJc w:val="left"/>
      <w:pPr>
        <w:ind w:left="720" w:hanging="360"/>
      </w:pPr>
    </w:lvl>
    <w:lvl w:ilvl="1" w:tplc="13F62C90">
      <w:start w:val="1"/>
      <w:numFmt w:val="bullet"/>
      <w:lvlText w:val="○"/>
      <w:lvlJc w:val="left"/>
      <w:pPr>
        <w:ind w:left="1440" w:hanging="360"/>
      </w:pPr>
    </w:lvl>
    <w:lvl w:ilvl="2" w:tplc="DCFA0DC8">
      <w:start w:val="1"/>
      <w:numFmt w:val="bullet"/>
      <w:lvlText w:val="■"/>
      <w:lvlJc w:val="left"/>
      <w:pPr>
        <w:ind w:left="2160" w:hanging="360"/>
      </w:pPr>
    </w:lvl>
    <w:lvl w:ilvl="3" w:tplc="091847A0">
      <w:start w:val="1"/>
      <w:numFmt w:val="bullet"/>
      <w:lvlText w:val="●"/>
      <w:lvlJc w:val="left"/>
      <w:pPr>
        <w:ind w:left="2880" w:hanging="360"/>
      </w:pPr>
    </w:lvl>
    <w:lvl w:ilvl="4" w:tplc="18083554">
      <w:start w:val="1"/>
      <w:numFmt w:val="bullet"/>
      <w:lvlText w:val="○"/>
      <w:lvlJc w:val="left"/>
      <w:pPr>
        <w:ind w:left="3600" w:hanging="360"/>
      </w:pPr>
    </w:lvl>
    <w:lvl w:ilvl="5" w:tplc="5380CCF4">
      <w:start w:val="1"/>
      <w:numFmt w:val="bullet"/>
      <w:lvlText w:val="■"/>
      <w:lvlJc w:val="left"/>
      <w:pPr>
        <w:ind w:left="4320" w:hanging="360"/>
      </w:pPr>
    </w:lvl>
    <w:lvl w:ilvl="6" w:tplc="4B6CFF04">
      <w:start w:val="1"/>
      <w:numFmt w:val="bullet"/>
      <w:lvlText w:val="●"/>
      <w:lvlJc w:val="left"/>
      <w:pPr>
        <w:ind w:left="5040" w:hanging="360"/>
      </w:pPr>
    </w:lvl>
    <w:lvl w:ilvl="7" w:tplc="090C58B4">
      <w:start w:val="1"/>
      <w:numFmt w:val="bullet"/>
      <w:lvlText w:val="●"/>
      <w:lvlJc w:val="left"/>
      <w:pPr>
        <w:ind w:left="5760" w:hanging="360"/>
      </w:pPr>
    </w:lvl>
    <w:lvl w:ilvl="8" w:tplc="7DFC942A">
      <w:start w:val="1"/>
      <w:numFmt w:val="bullet"/>
      <w:lvlText w:val="●"/>
      <w:lvlJc w:val="left"/>
      <w:pPr>
        <w:ind w:left="6480" w:hanging="360"/>
      </w:pPr>
    </w:lvl>
  </w:abstractNum>
  <w:num w:numId="1" w16cid:durableId="1151096193">
    <w:abstractNumId w:val="1"/>
    <w:lvlOverride w:ilvl="0">
      <w:startOverride w:val="1"/>
    </w:lvlOverride>
  </w:num>
  <w:num w:numId="2" w16cid:durableId="11743426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A74"/>
    <w:rsid w:val="00C95A74"/>
    <w:rsid w:val="00D739B5"/>
    <w:rsid w:val="00F26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F185C3"/>
  <w15:docId w15:val="{8CE33B7E-B70F-496D-BD7C-953E8A5D5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unhideWhenUsed/>
    <w:qFormat/>
    <w:pPr>
      <w:spacing w:before="18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after="120"/>
      <w:jc w:val="both"/>
    </w:pPr>
    <w:rPr>
      <w:color w:val="000000"/>
    </w:rPr>
  </w:style>
  <w:style w:type="paragraph" w:styleId="Caption">
    <w:name w:val="caption"/>
    <w:pPr>
      <w:spacing w:before="60" w:after="120"/>
      <w:jc w:val="center"/>
    </w:pPr>
    <w:rPr>
      <w:i/>
      <w:iC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4411</Words>
  <Characters>25145</Characters>
  <Application>Microsoft Office Word</Application>
  <DocSecurity>0</DocSecurity>
  <Lines>209</Lines>
  <Paragraphs>58</Paragraphs>
  <ScaleCrop>false</ScaleCrop>
  <Company/>
  <LinksUpToDate>false</LinksUpToDate>
  <CharactersWithSpaces>29498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Derek Lankeaux</cp:lastModifiedBy>
  <cp:revision>2</cp:revision>
  <dcterms:created xsi:type="dcterms:W3CDTF">2025-11-19T23:16:00Z</dcterms:created>
  <dcterms:modified xsi:type="dcterms:W3CDTF">2025-11-19T23:16:00Z</dcterms:modified>
</cp:coreProperties>
</file>