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Ensemble Machine Learning Methods for Breast Cancer Classification</w:t>
      </w:r>
    </w:p>
    <w:p>
      <w:pPr>
        <w:jc w:val="center"/>
      </w:pPr>
      <w:r>
        <w:rPr>
          <w:i/>
        </w:rPr>
        <w:t>A Comparative Analysis Using the WDBC Dataset</w:t>
      </w:r>
    </w:p>
    <w:p/>
    <w:p>
      <w:pPr>
        <w:jc w:val="center"/>
      </w:pPr>
      <w:r>
        <w:rPr>
          <w:b/>
        </w:rPr>
        <w:t>Derek Lankeaux</w:t>
      </w:r>
    </w:p>
    <w:p>
      <w:pPr>
        <w:jc w:val="center"/>
      </w:pPr>
      <w:r>
        <w:t>Rochester Institute of Technology</w:t>
      </w:r>
    </w:p>
    <w:p>
      <w:pPr>
        <w:jc w:val="center"/>
      </w:pPr>
      <w:r>
        <w:t>Master of Science in Applied Statistics</w:t>
      </w:r>
    </w:p>
    <w:p>
      <w:pPr>
        <w:jc w:val="center"/>
      </w:pPr>
      <w:r>
        <w:t>November 2024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capstone research presents a comprehensive machine learning pipeline for binary classification of breast cancer tumors using the Wisconsin Diagnostic Breast Cancer (WDBC) dataset. Eight ensemble methods were evaluated: Random Forest, Gradient Boosting, AdaBoost, Bagging, XGBoost, LightGBM, Voting, and Stacking. The AdaBoost classifier achieved 99.12% accuracy, 100% precision, 98.59% recall, and 0.9987 ROC-AUC, exceeding human inter-observer agreement (90-95%).</w:t>
      </w:r>
    </w:p>
    <w:p>
      <w:r>
        <w:rPr>
          <w:b/>
        </w:rPr>
        <w:t xml:space="preserve">Keywords: </w:t>
      </w:r>
      <w:r>
        <w:t>Breast Cancer, Ensemble Learning, AdaBoost, SMOTE, Machine Learning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Breast cancer is the most prevalent malignancy among women globally, with 2.3 million new diagnoses annually. Early detection is critical: localized disease shows 99% 5-year survival versus 29% for metastatic disease.</w:t>
      </w:r>
    </w:p>
    <w:p>
      <w:pPr>
        <w:pStyle w:val="Heading2"/>
      </w:pPr>
      <w:r>
        <w:t>1.1 Research Objectives</w:t>
      </w:r>
    </w:p>
    <w:p>
      <w:pPr>
        <w:pStyle w:val="ListBullet"/>
      </w:pPr>
      <w:r>
        <w:t>Algorithm Benchmarking: Compare eight ensemble methods</w:t>
      </w:r>
    </w:p>
    <w:p>
      <w:pPr>
        <w:pStyle w:val="ListBullet"/>
      </w:pPr>
      <w:r>
        <w:t>Preprocessing: VIF, SMOTE, and RFE implementation</w:t>
      </w:r>
    </w:p>
    <w:p>
      <w:pPr>
        <w:pStyle w:val="ListBullet"/>
      </w:pPr>
      <w:r>
        <w:t>Clinical Validation: Metrics for diagnostic decision-making</w:t>
      </w:r>
    </w:p>
    <w:p>
      <w:pPr>
        <w:pStyle w:val="Heading2"/>
      </w:pPr>
      <w:r>
        <w:t>1.2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Sample Size</w:t>
            </w:r>
          </w:p>
        </w:tc>
        <w:tc>
          <w:tcPr>
            <w:tcW w:type="dxa" w:w="4320"/>
          </w:tcPr>
          <w:p>
            <w:r>
              <w:t>569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Class Distribution</w:t>
            </w:r>
          </w:p>
        </w:tc>
        <w:tc>
          <w:tcPr>
            <w:tcW w:type="dxa" w:w="4320"/>
          </w:tcPr>
          <w:p>
            <w:r>
              <w:t>Benign: 357, Malignant: 212</w:t>
            </w:r>
          </w:p>
        </w:tc>
      </w:tr>
    </w:tbl>
    <w:p/>
    <w:p>
      <w:r>
        <w:br w:type="page"/>
      </w:r>
    </w:p>
    <w:p>
      <w:pPr>
        <w:pStyle w:val="Heading1"/>
      </w:pPr>
      <w:r>
        <w:t>2. Methodology</w:t>
      </w:r>
    </w:p>
    <w:p>
      <w:r>
        <w:t>The preprocessing pipeline includes: VIF analysis, Train-Test Split (80-20), StandardScaler normalization, SMOTE for class balancing, and RFE for feature selection.</w:t>
      </w:r>
    </w:p>
    <w:p>
      <w:pPr>
        <w:pStyle w:val="Heading2"/>
      </w:pPr>
      <w:r>
        <w:t>2.1 SMOTE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t>Malignant</w:t>
            </w:r>
          </w:p>
        </w:tc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286</w:t>
            </w:r>
          </w:p>
        </w:tc>
      </w:tr>
      <w:tr>
        <w:tc>
          <w:tcPr>
            <w:tcW w:type="dxa" w:w="2880"/>
          </w:tcPr>
          <w:p>
            <w:r>
              <w:t>Benign</w:t>
            </w:r>
          </w:p>
        </w:tc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286</w:t>
            </w:r>
          </w:p>
        </w:tc>
      </w:tr>
    </w:tbl>
    <w:p/>
    <w:p>
      <w:r>
        <w:br w:type="page"/>
      </w:r>
    </w:p>
    <w:p>
      <w:pPr>
        <w:pStyle w:val="Heading1"/>
      </w:pPr>
      <w:r>
        <w:t>3.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ROC-AUC</w:t>
            </w:r>
          </w:p>
        </w:tc>
      </w:tr>
      <w:tr>
        <w:tc>
          <w:tcPr>
            <w:tcW w:type="dxa" w:w="1728"/>
          </w:tcPr>
          <w:p>
            <w:r>
              <w:t>AdaBoost</w:t>
            </w:r>
          </w:p>
        </w:tc>
        <w:tc>
          <w:tcPr>
            <w:tcW w:type="dxa" w:w="1728"/>
          </w:tcPr>
          <w:p>
            <w:r>
              <w:t>99.12%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98.59%</w:t>
            </w:r>
          </w:p>
        </w:tc>
        <w:tc>
          <w:tcPr>
            <w:tcW w:type="dxa" w:w="1728"/>
          </w:tcPr>
          <w:p>
            <w:r>
              <w:t>0.9987</w:t>
            </w:r>
          </w:p>
        </w:tc>
      </w:tr>
      <w:tr>
        <w:tc>
          <w:tcPr>
            <w:tcW w:type="dxa" w:w="1728"/>
          </w:tcPr>
          <w:p>
            <w:r>
              <w:t>Stacking</w:t>
            </w:r>
          </w:p>
        </w:tc>
        <w:tc>
          <w:tcPr>
            <w:tcW w:type="dxa" w:w="1728"/>
          </w:tcPr>
          <w:p>
            <w:r>
              <w:t>98.25%</w:t>
            </w:r>
          </w:p>
        </w:tc>
        <w:tc>
          <w:tcPr>
            <w:tcW w:type="dxa" w:w="1728"/>
          </w:tcPr>
          <w:p>
            <w:r>
              <w:t>98.63%</w:t>
            </w:r>
          </w:p>
        </w:tc>
        <w:tc>
          <w:tcPr>
            <w:tcW w:type="dxa" w:w="1728"/>
          </w:tcPr>
          <w:p>
            <w:r>
              <w:t>98.59%</w:t>
            </w:r>
          </w:p>
        </w:tc>
        <w:tc>
          <w:tcPr>
            <w:tcW w:type="dxa" w:w="1728"/>
          </w:tcPr>
          <w:p>
            <w:r>
              <w:t>0.9974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97.37%</w:t>
            </w:r>
          </w:p>
        </w:tc>
        <w:tc>
          <w:tcPr>
            <w:tcW w:type="dxa" w:w="1728"/>
          </w:tcPr>
          <w:p>
            <w:r>
              <w:t>98.61%</w:t>
            </w:r>
          </w:p>
        </w:tc>
        <w:tc>
          <w:tcPr>
            <w:tcW w:type="dxa" w:w="1728"/>
          </w:tcPr>
          <w:p>
            <w:r>
              <w:t>97.18%</w:t>
            </w:r>
          </w:p>
        </w:tc>
        <w:tc>
          <w:tcPr>
            <w:tcW w:type="dxa" w:w="1728"/>
          </w:tcPr>
          <w:p>
            <w:r>
              <w:t>0.9958</w:t>
            </w:r>
          </w:p>
        </w:tc>
      </w:tr>
    </w:tbl>
    <w:p/>
    <w:p>
      <w:pPr>
        <w:pStyle w:val="Heading2"/>
      </w:pPr>
      <w:r>
        <w:t>3.1 AdaBoost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99.12%</w:t>
            </w:r>
          </w:p>
        </w:tc>
        <w:tc>
          <w:tcPr>
            <w:tcW w:type="dxa" w:w="2880"/>
          </w:tcPr>
          <w:p>
            <w:r>
              <w:t>Exceptional</w:t>
            </w:r>
          </w:p>
        </w:tc>
      </w:tr>
      <w:tr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  <w:tc>
          <w:tcPr>
            <w:tcW w:type="dxa" w:w="2880"/>
          </w:tcPr>
          <w:p>
            <w:r>
              <w:t>Zero false positives</w:t>
            </w:r>
          </w:p>
        </w:tc>
      </w:tr>
      <w:tr>
        <w:tc>
          <w:tcPr>
            <w:tcW w:type="dxa" w:w="2880"/>
          </w:tcPr>
          <w:p>
            <w:r>
              <w:t>Recall</w:t>
            </w:r>
          </w:p>
        </w:tc>
        <w:tc>
          <w:tcPr>
            <w:tcW w:type="dxa" w:w="2880"/>
          </w:tcPr>
          <w:p>
            <w:r>
              <w:t>98.59%</w:t>
            </w:r>
          </w:p>
        </w:tc>
        <w:tc>
          <w:tcPr>
            <w:tcW w:type="dxa" w:w="2880"/>
          </w:tcPr>
          <w:p>
            <w:r>
              <w:t>One missed case</w:t>
            </w:r>
          </w:p>
        </w:tc>
      </w:tr>
    </w:tbl>
    <w:p/>
    <w:p>
      <w:pPr>
        <w:pStyle w:val="Heading2"/>
      </w:pPr>
      <w:r>
        <w:t>3.2 Cross-Validation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Statistic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 Accuracy</w:t>
            </w:r>
          </w:p>
        </w:tc>
        <w:tc>
          <w:tcPr>
            <w:tcW w:type="dxa" w:w="4320"/>
          </w:tcPr>
          <w:p>
            <w:r>
              <w:t>98.46%</w:t>
            </w:r>
          </w:p>
        </w:tc>
      </w:tr>
      <w:tr>
        <w:tc>
          <w:tcPr>
            <w:tcW w:type="dxa" w:w="4320"/>
          </w:tcPr>
          <w:p>
            <w:r>
              <w:t>Std Dev</w:t>
            </w:r>
          </w:p>
        </w:tc>
        <w:tc>
          <w:tcPr>
            <w:tcW w:type="dxa" w:w="4320"/>
          </w:tcPr>
          <w:p>
            <w:r>
              <w:t>±1.12%</w:t>
            </w:r>
          </w:p>
        </w:tc>
      </w:tr>
      <w:tr>
        <w:tc>
          <w:tcPr>
            <w:tcW w:type="dxa" w:w="4320"/>
          </w:tcPr>
          <w:p>
            <w:r>
              <w:t>95% CI</w:t>
            </w:r>
          </w:p>
        </w:tc>
        <w:tc>
          <w:tcPr>
            <w:tcW w:type="dxa" w:w="4320"/>
          </w:tcPr>
          <w:p>
            <w:r>
              <w:t>[96.27%, 100.65%]</w:t>
            </w:r>
          </w:p>
        </w:tc>
      </w:tr>
    </w:tbl>
    <w:p/>
    <w:p>
      <w:r>
        <w:br w:type="page"/>
      </w:r>
    </w:p>
    <w:p>
      <w:pPr>
        <w:pStyle w:val="Heading1"/>
      </w:pPr>
      <w:r>
        <w:t>4. Discussion</w:t>
      </w:r>
    </w:p>
    <w:p>
      <w:r>
        <w:t>AdaBoost excelled due to adaptive sample weighting, weak learner synergy, and robustness to noise.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Human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AdaBoost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Sensitivity</w:t>
            </w:r>
          </w:p>
        </w:tc>
        <w:tc>
          <w:tcPr>
            <w:tcW w:type="dxa" w:w="2160"/>
          </w:tcPr>
          <w:p>
            <w:r>
              <w:t>83-95%</w:t>
            </w:r>
          </w:p>
        </w:tc>
        <w:tc>
          <w:tcPr>
            <w:tcW w:type="dxa" w:w="2160"/>
          </w:tcPr>
          <w:p>
            <w:r>
              <w:t>98.59%</w:t>
            </w:r>
          </w:p>
        </w:tc>
        <w:tc>
          <w:tcPr>
            <w:tcW w:type="dxa" w:w="2160"/>
          </w:tcPr>
          <w:p>
            <w:r>
              <w:t>+3.6-15.6%</w:t>
            </w:r>
          </w:p>
        </w:tc>
      </w:tr>
      <w:tr>
        <w:tc>
          <w:tcPr>
            <w:tcW w:type="dxa" w:w="2160"/>
          </w:tcPr>
          <w:p>
            <w:r>
              <w:t>Specificity</w:t>
            </w:r>
          </w:p>
        </w:tc>
        <w:tc>
          <w:tcPr>
            <w:tcW w:type="dxa" w:w="2160"/>
          </w:tcPr>
          <w:p>
            <w:r>
              <w:t>89-97%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+3-11%</w:t>
            </w:r>
          </w:p>
        </w:tc>
      </w:tr>
    </w:tbl>
    <w:p/>
    <w:p>
      <w:r>
        <w:br w:type="page"/>
      </w:r>
    </w:p>
    <w:p>
      <w:pPr>
        <w:pStyle w:val="Heading1"/>
      </w:pPr>
      <w:r>
        <w:t>5. Conclusions</w:t>
      </w:r>
    </w:p>
    <w:p>
      <w:pPr>
        <w:pStyle w:val="ListBullet"/>
      </w:pPr>
      <w:r>
        <w:t>AdaBoost achieves 99.12% accuracy with 100% precision</w:t>
      </w:r>
    </w:p>
    <w:p>
      <w:pPr>
        <w:pStyle w:val="ListBullet"/>
      </w:pPr>
      <w:r>
        <w:t>SMOTE improves minority class recall by 3-7%</w:t>
      </w:r>
    </w:p>
    <w:p>
      <w:pPr>
        <w:pStyle w:val="ListBullet"/>
      </w:pPr>
      <w:r>
        <w:t>RFE reduces dimensionality 50% without accuracy loss</w:t>
      </w:r>
    </w:p>
    <w:p>
      <w:pPr>
        <w:pStyle w:val="Heading1"/>
      </w:pPr>
      <w:r>
        <w:t>References</w:t>
      </w:r>
    </w:p>
    <w:p>
      <w:r>
        <w:t>[1] Breiman, L. (2001). Random Forests. Machine Learning.</w:t>
      </w:r>
    </w:p>
    <w:p>
      <w:r>
        <w:t>[2] Chen, T. &amp; Guestrin, C. (2016). XGBoost. KDD.</w:t>
      </w:r>
    </w:p>
    <w:p>
      <w:r>
        <w:t>[3] Wolberg, W.H. et al. (1995). WDBC Dataset. UCI.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