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DEREK LANKEAUX</w:t>
      </w:r>
    </w:p>
    <w:p>
      <w:pPr>
        <w:pStyle w:val="Contact"/>
      </w:pPr>
      <w:r>
        <w:t xml:space="preserve">West Babylon, NY | (555) 123-4567 | derek.lankeaux@email.com | </w:t>
      </w:r>
      <w:r>
        <w:rPr>
          <w:color w:val="0563C1"/>
        </w:rPr>
        <w:t xml:space="preserve">linkedin.com/in/dereklankeaux</w:t>
      </w:r>
      <w:r>
        <w:t xml:space="preserve"> | </w:t>
      </w:r>
      <w:r>
        <w:rPr>
          <w:color w:val="0563C1"/>
        </w:rPr>
        <w:t xml:space="preserve">github.com/dereklankeaux</w:t>
      </w:r>
    </w:p>
    <w:p>
      <w:pPr>
        <w:pStyle w:val="SectionHeader"/>
      </w:pPr>
      <w:r>
        <w:t xml:space="preserve">EXPERIENCE</w:t>
      </w:r>
    </w:p>
    <w:p>
      <w:pPr>
        <w:pStyle w:val="JobTitle"/>
      </w:pPr>
      <w:r>
        <w:t xml:space="preserve">AI Quality Assurance Specialist</w:t>
      </w:r>
    </w:p>
    <w:p>
      <w:pPr>
        <w:pStyle w:val="CompanyInfo"/>
      </w:pPr>
      <w:r>
        <w:t xml:space="preserve">Toloka AI (Mindrift) • Remote • July 2024 – Present</w:t>
      </w:r>
    </w:p>
    <w:p>
      <w:pPr>
        <w:pStyle w:val="Bullet"/>
      </w:pPr>
      <w:r>
        <w:t xml:space="preserve">• Validate frontier LLM outputs for mathematical reasoning and code generation tasks across GPT-4, Claude-3, and Gemini models, ensuring adherence to quality benchmarks for production AI systems</w:t>
      </w:r>
    </w:p>
    <w:p>
      <w:pPr>
        <w:pStyle w:val="Bullet"/>
      </w:pPr>
      <w:r>
        <w:t xml:space="preserve">• Conduct systematic evaluation of AI-generated solutions using rubric-based frameworks, identifying edge cases and failure modes to improve model reliability and accuracy</w:t>
      </w:r>
    </w:p>
    <w:p>
      <w:pPr>
        <w:pStyle w:val="Bullet"/>
      </w:pPr>
      <w:r>
        <w:t xml:space="preserve">• Apply statistical reasoning and domain expertise to assess correctness of complex mathematical proofs, algorithm implementations, and data analysis workflows</w:t>
      </w:r>
    </w:p>
    <w:p>
      <w:pPr>
        <w:pStyle w:val="JobTitle"/>
      </w:pPr>
      <w:r>
        <w:t xml:space="preserve">Cloud Software Analyst</w:t>
      </w:r>
    </w:p>
    <w:p>
      <w:pPr>
        <w:pStyle w:val="CompanyInfo"/>
      </w:pPr>
      <w:r>
        <w:t xml:space="preserve">BRdata Software Solutions • Melville, NY • March 2023 – June 2024</w:t>
      </w:r>
    </w:p>
    <w:p>
      <w:pPr>
        <w:pStyle w:val="Bullet"/>
      </w:pPr>
      <w:r>
        <w:t xml:space="preserve">• Engineered production NL2SQL application using LangChain and GPT-4 API integration, achieving 90% query accuracy on complex database schemas with 1,200+ tables</w:t>
      </w:r>
    </w:p>
    <w:p>
      <w:pPr>
        <w:pStyle w:val="Bullet"/>
      </w:pPr>
      <w:r>
        <w:t xml:space="preserve">• Architected semantic layer for natural language database queries, implementing few-shot prompt engineering and retrieval-augmented generation (RAG) to reduce hallucinations by 40%</w:t>
      </w:r>
    </w:p>
    <w:p>
      <w:pPr>
        <w:pStyle w:val="Bullet"/>
      </w:pPr>
      <w:r>
        <w:t xml:space="preserve">• Deployed cloud-native solutions on AWS (EC2, S3, Lambda), optimizing API latency to &lt;500ms p95 through caching strategies and connection pooling</w:t>
      </w:r>
    </w:p>
    <w:p>
      <w:pPr>
        <w:pStyle w:val="JobTitle"/>
      </w:pPr>
      <w:r>
        <w:t xml:space="preserve">Mathematics Instructor</w:t>
      </w:r>
    </w:p>
    <w:p>
      <w:pPr>
        <w:pStyle w:val="CompanyInfo"/>
      </w:pPr>
      <w:r>
        <w:t xml:space="preserve">Huntington Learning Center • Long Island, NY • September 2020 – March 2023</w:t>
      </w:r>
    </w:p>
    <w:p>
      <w:pPr>
        <w:pStyle w:val="Bullet"/>
      </w:pPr>
      <w:r>
        <w:t xml:space="preserve">• Delivered personalized mathematics instruction to 50+ students (grades 6-12), achieving 95% proficiency improvement on standardized assessments</w:t>
      </w:r>
    </w:p>
    <w:p>
      <w:pPr>
        <w:pStyle w:val="SectionHeader"/>
      </w:pPr>
      <w:r>
        <w:t xml:space="preserve">TECHNICAL PROJECTS</w:t>
      </w:r>
    </w:p>
    <w:p>
      <w:pPr>
        <w:pStyle w:val="JobTitle"/>
      </w:pPr>
      <w:r>
        <w:t xml:space="preserve">LLM Ensemble for Textbook Bias Detection with Bayesian Inference</w:t>
      </w:r>
    </w:p>
    <w:p>
      <w:pPr>
        <w:pStyle w:val="CompanyInfo"/>
      </w:pPr>
      <w:r>
        <w:t xml:space="preserve">MS Applied Statistics Capstone • 2024</w:t>
      </w:r>
    </w:p>
    <w:p>
      <w:pPr>
        <w:pStyle w:val="Bullet"/>
      </w:pPr>
      <w:r>
        <w:t xml:space="preserve">• Built production LLM ensemble framework coordinating GPT-4, Claude-3-Opus, and Llama-3-70B via API integration to analyze 4,500 textbook passages (67,500 total ratings), achieving Krippendorff's α = 0.84 inter-rater reliability</w:t>
      </w:r>
    </w:p>
    <w:p>
      <w:pPr>
        <w:pStyle w:val="Bullet"/>
      </w:pPr>
      <w:r>
        <w:t xml:space="preserve">• Implemented Bayesian hierarchical model using PyMC with MCMC sampling (2,000 draws, 95% convergence diagnostics) to quantify publisher-level bias effects with credible intervals, detecting statistically significant differences (Friedman p &lt; 0.001)</w:t>
      </w:r>
    </w:p>
    <w:p>
      <w:pPr>
        <w:pStyle w:val="Bullet"/>
      </w:pPr>
      <w:r>
        <w:t xml:space="preserve">• Engineered structured JSON output parsing and error handling for API rate limiting, processing ~2.5M tokens with retry logic and exponential backoff strategies</w:t>
      </w:r>
    </w:p>
    <w:p>
      <w:pPr>
        <w:pStyle w:val="JobTitle"/>
      </w:pPr>
      <w:r>
        <w:t xml:space="preserve">Enhanced Ensemble Methods for Breast Cancer Classification</w:t>
      </w:r>
    </w:p>
    <w:p>
      <w:pPr>
        <w:pStyle w:val="CompanyInfo"/>
      </w:pPr>
      <w:r>
        <w:t xml:space="preserve">Independent Research Project • 2024</w:t>
      </w:r>
    </w:p>
    <w:p>
      <w:pPr>
        <w:pStyle w:val="Bullet"/>
      </w:pPr>
      <w:r>
        <w:t xml:space="preserve">• Achieved 99.12% accuracy and 100% precision on Wisconsin breast cancer dataset using AdaBoost, outperforming 7 other ensemble methods (Random Forest, XGBoost, LightGBM, Gradient Boosting, Bagging, Voting, Stacking)</w:t>
      </w:r>
    </w:p>
    <w:p>
      <w:pPr>
        <w:pStyle w:val="Bullet"/>
      </w:pPr>
      <w:r>
        <w:t xml:space="preserve">• Applied comprehensive ML pipeline: VIF analysis for multicollinearity, SMOTE for class imbalance (1.68:1 ratio), RFE reducing 30→15 features, and stratified 10-fold cross-validation (98.46% ± 1.12% CV score)</w:t>
      </w:r>
    </w:p>
    <w:p>
      <w:pPr>
        <w:pStyle w:val="Bullet"/>
      </w:pPr>
      <w:r>
        <w:t xml:space="preserve">• Deployed production-ready model artifacts with joblib persistence, achieving 0.9987 ROC-AUC suitable for clinical computer-aided diagnosis integration</w:t>
      </w:r>
    </w:p>
    <w:p>
      <w:pPr>
        <w:pStyle w:val="SectionHeader"/>
      </w:pPr>
      <w:r>
        <w:t xml:space="preserve">EDUCATION</w:t>
      </w:r>
    </w:p>
    <w:p>
      <w:pPr>
        <w:pStyle w:val="JobTitle"/>
      </w:pPr>
      <w:r>
        <w:t xml:space="preserve">Master of Science in Applied Statistics</w:t>
      </w:r>
    </w:p>
    <w:p>
      <w:pPr>
        <w:pStyle w:val="CompanyInfo"/>
      </w:pPr>
      <w:r>
        <w:t xml:space="preserve">Rochester Institute of Technology (RIT) • Rochester, NY • 2024</w:t>
      </w:r>
    </w:p>
    <w:p>
      <w:pPr>
        <w:pStyle w:val="Bullet"/>
      </w:pPr>
      <w:r>
        <w:t xml:space="preserve">• Relevant Coursework: Bayesian Statistics, Statistical Learning, Time Series Analysis, Regression Analysis, Experimental Design</w:t>
      </w:r>
    </w:p>
    <w:p>
      <w:pPr>
        <w:pStyle w:val="JobTitle"/>
      </w:pPr>
      <w:r>
        <w:t xml:space="preserve">Bachelor of Science in Applied Mathematics and Statistics</w:t>
      </w:r>
    </w:p>
    <w:p>
      <w:pPr>
        <w:pStyle w:val="CompanyInfo"/>
      </w:pPr>
      <w:r>
        <w:t xml:space="preserve">Stony Brook University • Stony Brook, NY • 2020</w:t>
      </w:r>
    </w:p>
    <w:p>
      <w:pPr>
        <w:pStyle w:val="SectionHeader"/>
      </w:pPr>
      <w:r>
        <w:t xml:space="preserve">TECHNICAL SKILLS</w:t>
      </w:r>
    </w:p>
    <w:p>
      <w:pPr>
        <w:pStyle w:val="SkillCategory"/>
      </w:pPr>
      <w:r>
        <w:rPr>
          <w:b/>
          <w:bCs/>
        </w:rPr>
        <w:t xml:space="preserve">Languages: </w:t>
      </w:r>
      <w:r>
        <w:rPr>
          <w:b w:val="false"/>
          <w:bCs w:val="false"/>
        </w:rPr>
        <w:t xml:space="preserve">Python, R, SQL, JavaScript, Bash</w:t>
      </w:r>
    </w:p>
    <w:p>
      <w:pPr>
        <w:pStyle w:val="SkillCategory"/>
      </w:pPr>
      <w:r>
        <w:rPr>
          <w:b/>
          <w:bCs/>
        </w:rPr>
        <w:t xml:space="preserve">ML/AI Frameworks: </w:t>
      </w:r>
      <w:r>
        <w:rPr>
          <w:b w:val="false"/>
          <w:bCs w:val="false"/>
        </w:rPr>
        <w:t xml:space="preserve">scikit-learn, XGBoost, LightGBM, PyMC, LangChain, OpenAI API, Anthropic API, Hugging Face</w:t>
      </w:r>
    </w:p>
    <w:p>
      <w:pPr>
        <w:pStyle w:val="SkillCategory"/>
      </w:pPr>
      <w:r>
        <w:rPr>
          <w:b/>
          <w:bCs/>
        </w:rPr>
        <w:t xml:space="preserve">Data Science: </w:t>
      </w:r>
      <w:r>
        <w:rPr>
          <w:b w:val="false"/>
          <w:bCs w:val="false"/>
        </w:rPr>
        <w:t xml:space="preserve">Pandas, NumPy, SciPy, Matplotlib, Seaborn, ArviZ, Jupyter, Git</w:t>
      </w:r>
    </w:p>
    <w:p>
      <w:pPr>
        <w:pStyle w:val="SkillCategory"/>
      </w:pPr>
      <w:r>
        <w:rPr>
          <w:b/>
          <w:bCs/>
        </w:rPr>
        <w:t xml:space="preserve">Statistical Methods: </w:t>
      </w:r>
      <w:r>
        <w:rPr>
          <w:b w:val="false"/>
          <w:bCs w:val="false"/>
        </w:rPr>
        <w:t xml:space="preserve">Bayesian Inference, Ensemble Learning, MCMC Sampling, Hypothesis Testing, Regression, Time Series, Factor Analysis</w:t>
      </w:r>
    </w:p>
    <w:p>
      <w:pPr>
        <w:pStyle w:val="SkillCategory"/>
      </w:pPr>
      <w:r>
        <w:rPr>
          <w:b/>
          <w:bCs/>
        </w:rPr>
        <w:t xml:space="preserve">Cloud &amp; Tools: </w:t>
      </w:r>
      <w:r>
        <w:rPr>
          <w:b w:val="false"/>
          <w:bCs w:val="false"/>
        </w:rPr>
        <w:t xml:space="preserve">AWS (EC2, S3, Lambda), Docker, REST APIs, CI/CD, Prompt Engineering, RAG</w:t>
      </w:r>
    </w:p>
    <w:sectPr>
      <w:pgSz w:w="11906" w:h="16838" w:orient="portrait"/>
      <w:pgMar w:top="5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pPr>
      <w:spacing w:before="40" w:after="60"/>
      <w:jc w:val="center"/>
    </w:pPr>
    <w:rPr>
      <w:rFonts w:ascii="Georgia" w:cs="Georgia" w:eastAsia="Georgia" w:hAnsi="Georgia"/>
      <w:b/>
      <w:bCs/>
      <w:color w:val="1a1a1a"/>
      <w:sz w:val="32"/>
      <w:szCs w:val="32"/>
    </w:rPr>
  </w:style>
  <w:style w:type="paragraph" w:styleId="Contact">
    <w:name w:val="Contact"/>
    <w:pPr>
      <w:spacing w:before="0" w:after="120"/>
      <w:jc w:val="center"/>
    </w:pPr>
    <w:rPr>
      <w:rFonts w:ascii="Calibri" w:cs="Calibri" w:eastAsia="Calibri" w:hAnsi="Calibri"/>
      <w:color w:val="404040"/>
      <w:sz w:val="20"/>
      <w:szCs w:val="20"/>
    </w:rPr>
  </w:style>
  <w:style w:type="paragraph" w:styleId="SectionHeader">
    <w:name w:val="SectionHeader"/>
    <w:pPr>
      <w:pBdr>
        <w:bottom w:color="1a1a1a" w:sz="6" w:space="1"/>
      </w:pBdr>
      <w:spacing w:before="160" w:after="80"/>
      <w:jc w:val="left"/>
    </w:pPr>
    <w:rPr>
      <w:rFonts w:ascii="Georgia" w:cs="Georgia" w:eastAsia="Georgia" w:hAnsi="Georgia"/>
      <w:b/>
      <w:bCs/>
      <w:color w:val="1a1a1a"/>
      <w:sz w:val="24"/>
      <w:szCs w:val="24"/>
    </w:rPr>
  </w:style>
  <w:style w:type="paragraph" w:styleId="JobTitle">
    <w:name w:val="JobTitle"/>
    <w:pPr>
      <w:spacing w:before="100" w:after="0"/>
    </w:pPr>
    <w:rPr>
      <w:rFonts w:ascii="Calibri" w:cs="Calibri" w:eastAsia="Calibri" w:hAnsi="Calibri"/>
      <w:b/>
      <w:bCs/>
      <w:color w:val="1a1a1a"/>
      <w:sz w:val="22"/>
      <w:szCs w:val="22"/>
    </w:rPr>
  </w:style>
  <w:style w:type="paragraph" w:styleId="CompanyInfo">
    <w:name w:val="CompanyInfo"/>
    <w:pPr>
      <w:spacing w:before="0" w:after="60"/>
    </w:pPr>
    <w:rPr>
      <w:rFonts w:ascii="Calibri" w:cs="Calibri" w:eastAsia="Calibri" w:hAnsi="Calibri"/>
      <w:i/>
      <w:iCs/>
      <w:color w:val="404040"/>
      <w:sz w:val="20"/>
      <w:szCs w:val="20"/>
    </w:rPr>
  </w:style>
  <w:style w:type="paragraph" w:styleId="Bullet">
    <w:name w:val="Bullet"/>
    <w:pPr>
      <w:spacing w:before="20" w:after="20"/>
      <w:ind w:left="360" w:hanging="180"/>
    </w:pPr>
    <w:rPr>
      <w:rFonts w:ascii="Calibri" w:cs="Calibri" w:eastAsia="Calibri" w:hAnsi="Calibri"/>
      <w:color w:val="1a1a1a"/>
      <w:sz w:val="20"/>
      <w:szCs w:val="20"/>
    </w:rPr>
  </w:style>
  <w:style w:type="paragraph" w:styleId="SkillCategory">
    <w:name w:val="SkillCategory"/>
    <w:pPr>
      <w:spacing w:before="60" w:after="30"/>
    </w:pPr>
    <w:rPr>
      <w:rFonts w:ascii="Calibri" w:cs="Calibri" w:eastAsia="Calibri" w:hAnsi="Calibri"/>
      <w:b/>
      <w:bCs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2025-11-27T03:23:57.215Z</dcterms:created>
  <dcterms:modified xsi:type="dcterms:W3CDTF">2025-11-27T03:23:57.215Z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