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Breast Cancer Classification Analysis Report</w:t>
      </w:r>
    </w:p>
    <w:p>
      <w:r>
        <w:t>Report Generated: 2025-11-27 08:35:32</w:t>
      </w:r>
    </w:p>
    <w:p>
      <w:r>
        <w:t>Author: Derek Lankeaux</w:t>
      </w:r>
    </w:p>
    <w:p>
      <w:r>
        <w:t>Institution: Rochester Institute of Technology</w:t>
      </w:r>
    </w:p>
    <w:p>
      <w:r>
        <w:t>Program: MS Applied Statistics</w:t>
      </w:r>
    </w:p>
    <w:p/>
    <w:p>
      <w:pPr>
        <w:pStyle w:val="Heading1"/>
      </w:pPr>
      <w:r>
        <w:t>Executive Summary</w:t>
      </w:r>
    </w:p>
    <w:p>
      <w:r>
        <w:t xml:space="preserve">This comprehensive analysis evaluates 8 ensemble learning methods on the Wisconsin Diagnostic Breast Cancer (WDBC) dataset. </w:t>
      </w:r>
      <w:r>
        <w:rPr>
          <w:b/>
        </w:rPr>
        <w:t>The best performing model is AdaBoost</w:t>
      </w:r>
      <w:r>
        <w:t xml:space="preserve">, achieving 99.12% accuracy with 100% precision and 98.59% recall. </w:t>
      </w:r>
      <w:r>
        <w:t xml:space="preserve">Cross-validation confirms robust generalization with 98.46% ± 1.12% mean accuracy. </w:t>
      </w:r>
      <w:r>
        <w:t>Performance exceeds human inter-observer agreement in cytopathology (~90-95%).</w:t>
      </w:r>
    </w:p>
    <w:p>
      <w:pPr>
        <w:pStyle w:val="Heading2"/>
      </w:pPr>
      <w:r>
        <w:t>Key Results</w:t>
      </w:r>
    </w:p>
    <w:p>
      <w:r>
        <w:rPr>
          <w:b/>
        </w:rPr>
        <w:t xml:space="preserve">Best Model: </w:t>
      </w:r>
      <w:r>
        <w:t>AdaBoost</w:t>
      </w:r>
    </w:p>
    <w:p>
      <w:r>
        <w:rPr>
          <w:b/>
        </w:rPr>
        <w:t xml:space="preserve">Accuracy: </w:t>
      </w:r>
      <w:r>
        <w:t>99.12%</w:t>
      </w:r>
    </w:p>
    <w:p>
      <w:r>
        <w:rPr>
          <w:b/>
        </w:rPr>
        <w:t xml:space="preserve">Precision: </w:t>
      </w:r>
      <w:r>
        <w:t>100.00%</w:t>
      </w:r>
    </w:p>
    <w:p>
      <w:r>
        <w:rPr>
          <w:b/>
        </w:rPr>
        <w:t xml:space="preserve">Recall: </w:t>
      </w:r>
      <w:r>
        <w:t>98.59%</w:t>
      </w:r>
    </w:p>
    <w:p>
      <w:r>
        <w:rPr>
          <w:b/>
        </w:rPr>
        <w:t xml:space="preserve">F1-Score: </w:t>
      </w:r>
      <w:r>
        <w:t>0.9929</w:t>
      </w:r>
    </w:p>
    <w:p>
      <w:r>
        <w:rPr>
          <w:b/>
        </w:rPr>
        <w:t xml:space="preserve">ROC-AUC: </w:t>
      </w:r>
      <w:r>
        <w:t>0.9987</w:t>
      </w:r>
    </w:p>
    <w:p>
      <w:r>
        <w:rPr>
          <w:b/>
        </w:rPr>
        <w:t xml:space="preserve">Cross-Validation: </w:t>
      </w:r>
      <w:r>
        <w:t>98.46% ± 1.12%</w:t>
      </w:r>
    </w:p>
    <w:p>
      <w:r>
        <w:rPr>
          <w:b/>
        </w:rPr>
        <w:t xml:space="preserve">Feature Reduction: </w:t>
      </w:r>
      <w:r>
        <w:t>30 → 15 features (50% reduction)</w:t>
      </w:r>
    </w:p>
    <w:p>
      <w:pPr>
        <w:pStyle w:val="Heading1"/>
      </w:pPr>
      <w:r>
        <w:t>1. Dataset Overview</w:t>
      </w:r>
    </w:p>
    <w:p>
      <w:r>
        <w:t>Dataset: Wisconsin Diagnostic Breast Cancer (WDBC)</w:t>
      </w:r>
    </w:p>
    <w:p>
      <w:r>
        <w:t>Total Samples: 569</w:t>
      </w:r>
    </w:p>
    <w:p>
      <w:r>
        <w:t>Original Features: 30</w:t>
      </w:r>
    </w:p>
    <w:p>
      <w:r>
        <w:t>Selected Features (via RFE): 15</w:t>
      </w:r>
    </w:p>
    <w:p>
      <w:r>
        <w:t>Class Distribution: Malignant=212 (37.3%), Benign=357 (62.7%)</w:t>
      </w:r>
    </w:p>
    <w:p>
      <w:r>
        <w:t>Imbalance Ratio: 1.68:1 (addressed via SMOTE)</w:t>
      </w:r>
    </w:p>
    <w:p>
      <w:pPr>
        <w:pStyle w:val="Heading1"/>
      </w:pPr>
      <w:r>
        <w:t>2. Methodology</w:t>
      </w:r>
    </w:p>
    <w:p>
      <w:r>
        <w:t>1. VIF Analysis: Identified multicollinear features with VIF &gt; 10</w:t>
      </w:r>
    </w:p>
    <w:p>
      <w:r>
        <w:t>2. Train-Test Split: 80-20 stratified split preserving class distribution</w:t>
      </w:r>
    </w:p>
    <w:p>
      <w:r>
        <w:t>3. Standard Scaling: Zero mean, unit variance normalization</w:t>
      </w:r>
    </w:p>
    <w:p>
      <w:r>
        <w:t>4. SMOTE: Synthetic Minority Over-sampling Technique for class balancing</w:t>
      </w:r>
    </w:p>
    <w:p>
      <w:r>
        <w:t>5. RFE: Recursive Feature Elimination reducing 30 → 15 features</w:t>
      </w:r>
    </w:p>
    <w:p>
      <w:r>
        <w:t>6. Ensemble Training: 8 different ensemble algorithms trained</w:t>
      </w:r>
    </w:p>
    <w:p>
      <w:r>
        <w:t>7. Cross-Validation: 10-fold stratified validation for robustness</w:t>
      </w:r>
    </w:p>
    <w:p>
      <w:pPr>
        <w:pStyle w:val="Heading1"/>
      </w:pPr>
      <w:r>
        <w:t>3. Model Performance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F1-Score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ROC-AUC</w:t>
            </w:r>
          </w:p>
        </w:tc>
      </w:tr>
      <w:tr>
        <w:tc>
          <w:tcPr>
            <w:tcW w:type="dxa" w:w="1440"/>
          </w:tcPr>
          <w:p>
            <w:r>
              <w:t>AdaBoost</w:t>
            </w:r>
          </w:p>
        </w:tc>
        <w:tc>
          <w:tcPr>
            <w:tcW w:type="dxa" w:w="1440"/>
          </w:tcPr>
          <w:p>
            <w:r>
              <w:t>0.9912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0.9859</w:t>
            </w:r>
          </w:p>
        </w:tc>
        <w:tc>
          <w:tcPr>
            <w:tcW w:type="dxa" w:w="1440"/>
          </w:tcPr>
          <w:p>
            <w:r>
              <w:t>0.9929</w:t>
            </w:r>
          </w:p>
        </w:tc>
        <w:tc>
          <w:tcPr>
            <w:tcW w:type="dxa" w:w="1440"/>
          </w:tcPr>
          <w:p>
            <w:r>
              <w:t>0.9987</w:t>
            </w:r>
          </w:p>
        </w:tc>
      </w:tr>
      <w:tr>
        <w:tc>
          <w:tcPr>
            <w:tcW w:type="dxa" w:w="1440"/>
          </w:tcPr>
          <w:p>
            <w:r>
              <w:t>Gradient Boosting</w:t>
            </w:r>
          </w:p>
        </w:tc>
        <w:tc>
          <w:tcPr>
            <w:tcW w:type="dxa" w:w="1440"/>
          </w:tcPr>
          <w:p>
            <w:r>
              <w:t>0.9825</w:t>
            </w:r>
          </w:p>
        </w:tc>
        <w:tc>
          <w:tcPr>
            <w:tcW w:type="dxa" w:w="1440"/>
          </w:tcPr>
          <w:p>
            <w:r>
              <w:t>0.9859</w:t>
            </w:r>
          </w:p>
        </w:tc>
        <w:tc>
          <w:tcPr>
            <w:tcW w:type="dxa" w:w="1440"/>
          </w:tcPr>
          <w:p>
            <w:r>
              <w:t>0.9859</w:t>
            </w:r>
          </w:p>
        </w:tc>
        <w:tc>
          <w:tcPr>
            <w:tcW w:type="dxa" w:w="1440"/>
          </w:tcPr>
          <w:p>
            <w:r>
              <w:t>0.9859</w:t>
            </w:r>
          </w:p>
        </w:tc>
        <w:tc>
          <w:tcPr>
            <w:tcW w:type="dxa" w:w="1440"/>
          </w:tcPr>
          <w:p>
            <w:r>
              <w:t>0.9958</w:t>
            </w:r>
          </w:p>
        </w:tc>
      </w:tr>
      <w:tr>
        <w:tc>
          <w:tcPr>
            <w:tcW w:type="dxa" w:w="1440"/>
          </w:tcPr>
          <w:p>
            <w:r>
              <w:t>XGBoost</w:t>
            </w:r>
          </w:p>
        </w:tc>
        <w:tc>
          <w:tcPr>
            <w:tcW w:type="dxa" w:w="1440"/>
          </w:tcPr>
          <w:p>
            <w:r>
              <w:t>0.9737</w:t>
            </w:r>
          </w:p>
        </w:tc>
        <w:tc>
          <w:tcPr>
            <w:tcW w:type="dxa" w:w="1440"/>
          </w:tcPr>
          <w:p>
            <w:r>
              <w:t>0.9722</w:t>
            </w:r>
          </w:p>
        </w:tc>
        <w:tc>
          <w:tcPr>
            <w:tcW w:type="dxa" w:w="1440"/>
          </w:tcPr>
          <w:p>
            <w:r>
              <w:t>0.9859</w:t>
            </w:r>
          </w:p>
        </w:tc>
        <w:tc>
          <w:tcPr>
            <w:tcW w:type="dxa" w:w="1440"/>
          </w:tcPr>
          <w:p>
            <w:r>
              <w:t>0.9790</w:t>
            </w:r>
          </w:p>
        </w:tc>
        <w:tc>
          <w:tcPr>
            <w:tcW w:type="dxa" w:w="1440"/>
          </w:tcPr>
          <w:p>
            <w:r>
              <w:t>0.9944</w:t>
            </w:r>
          </w:p>
        </w:tc>
      </w:tr>
      <w:tr>
        <w:tc>
          <w:tcPr>
            <w:tcW w:type="dxa" w:w="1440"/>
          </w:tcPr>
          <w:p>
            <w:r>
              <w:t>Random Forest</w:t>
            </w:r>
          </w:p>
        </w:tc>
        <w:tc>
          <w:tcPr>
            <w:tcW w:type="dxa" w:w="1440"/>
          </w:tcPr>
          <w:p>
            <w:r>
              <w:t>0.9649</w:t>
            </w:r>
          </w:p>
        </w:tc>
        <w:tc>
          <w:tcPr>
            <w:tcW w:type="dxa" w:w="1440"/>
          </w:tcPr>
          <w:p>
            <w:r>
              <w:t>0.9577</w:t>
            </w:r>
          </w:p>
        </w:tc>
        <w:tc>
          <w:tcPr>
            <w:tcW w:type="dxa" w:w="1440"/>
          </w:tcPr>
          <w:p>
            <w:r>
              <w:t>0.9859</w:t>
            </w:r>
          </w:p>
        </w:tc>
        <w:tc>
          <w:tcPr>
            <w:tcW w:type="dxa" w:w="1440"/>
          </w:tcPr>
          <w:p>
            <w:r>
              <w:t>0.9716</w:t>
            </w:r>
          </w:p>
        </w:tc>
        <w:tc>
          <w:tcPr>
            <w:tcW w:type="dxa" w:w="1440"/>
          </w:tcPr>
          <w:p>
            <w:r>
              <w:t>0.9930</w:t>
            </w:r>
          </w:p>
        </w:tc>
      </w:tr>
      <w:tr>
        <w:tc>
          <w:tcPr>
            <w:tcW w:type="dxa" w:w="1440"/>
          </w:tcPr>
          <w:p>
            <w:r>
              <w:t>Stacking</w:t>
            </w:r>
          </w:p>
        </w:tc>
        <w:tc>
          <w:tcPr>
            <w:tcW w:type="dxa" w:w="1440"/>
          </w:tcPr>
          <w:p>
            <w:r>
              <w:t>0.9649</w:t>
            </w:r>
          </w:p>
        </w:tc>
        <w:tc>
          <w:tcPr>
            <w:tcW w:type="dxa" w:w="1440"/>
          </w:tcPr>
          <w:p>
            <w:r>
              <w:t>0.9577</w:t>
            </w:r>
          </w:p>
        </w:tc>
        <w:tc>
          <w:tcPr>
            <w:tcW w:type="dxa" w:w="1440"/>
          </w:tcPr>
          <w:p>
            <w:r>
              <w:t>0.9859</w:t>
            </w:r>
          </w:p>
        </w:tc>
        <w:tc>
          <w:tcPr>
            <w:tcW w:type="dxa" w:w="1440"/>
          </w:tcPr>
          <w:p>
            <w:r>
              <w:t>0.9716</w:t>
            </w:r>
          </w:p>
        </w:tc>
        <w:tc>
          <w:tcPr>
            <w:tcW w:type="dxa" w:w="1440"/>
          </w:tcPr>
          <w:p>
            <w:r>
              <w:t>0.9944</w:t>
            </w:r>
          </w:p>
        </w:tc>
      </w:tr>
      <w:tr>
        <w:tc>
          <w:tcPr>
            <w:tcW w:type="dxa" w:w="1440"/>
          </w:tcPr>
          <w:p>
            <w:r>
              <w:t>Voting</w:t>
            </w:r>
          </w:p>
        </w:tc>
        <w:tc>
          <w:tcPr>
            <w:tcW w:type="dxa" w:w="1440"/>
          </w:tcPr>
          <w:p>
            <w:r>
              <w:t>0.9649</w:t>
            </w:r>
          </w:p>
        </w:tc>
        <w:tc>
          <w:tcPr>
            <w:tcW w:type="dxa" w:w="1440"/>
          </w:tcPr>
          <w:p>
            <w:r>
              <w:t>0.9577</w:t>
            </w:r>
          </w:p>
        </w:tc>
        <w:tc>
          <w:tcPr>
            <w:tcW w:type="dxa" w:w="1440"/>
          </w:tcPr>
          <w:p>
            <w:r>
              <w:t>0.9859</w:t>
            </w:r>
          </w:p>
        </w:tc>
        <w:tc>
          <w:tcPr>
            <w:tcW w:type="dxa" w:w="1440"/>
          </w:tcPr>
          <w:p>
            <w:r>
              <w:t>0.9716</w:t>
            </w:r>
          </w:p>
        </w:tc>
        <w:tc>
          <w:tcPr>
            <w:tcW w:type="dxa" w:w="1440"/>
          </w:tcPr>
          <w:p>
            <w:r>
              <w:t>0.9944</w:t>
            </w:r>
          </w:p>
        </w:tc>
      </w:tr>
      <w:tr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0.9561</w:t>
            </w:r>
          </w:p>
        </w:tc>
        <w:tc>
          <w:tcPr>
            <w:tcW w:type="dxa" w:w="1440"/>
          </w:tcPr>
          <w:p>
            <w:r>
              <w:t>0.9444</w:t>
            </w:r>
          </w:p>
        </w:tc>
        <w:tc>
          <w:tcPr>
            <w:tcW w:type="dxa" w:w="1440"/>
          </w:tcPr>
          <w:p>
            <w:r>
              <w:t>0.9859</w:t>
            </w:r>
          </w:p>
        </w:tc>
        <w:tc>
          <w:tcPr>
            <w:tcW w:type="dxa" w:w="1440"/>
          </w:tcPr>
          <w:p>
            <w:r>
              <w:t>0.9647</w:t>
            </w:r>
          </w:p>
        </w:tc>
        <w:tc>
          <w:tcPr>
            <w:tcW w:type="dxa" w:w="1440"/>
          </w:tcPr>
          <w:p>
            <w:r>
              <w:t>0.9916</w:t>
            </w:r>
          </w:p>
        </w:tc>
      </w:tr>
      <w:tr>
        <w:tc>
          <w:tcPr>
            <w:tcW w:type="dxa" w:w="1440"/>
          </w:tcPr>
          <w:p>
            <w:r>
              <w:t>Bagging</w:t>
            </w:r>
          </w:p>
        </w:tc>
        <w:tc>
          <w:tcPr>
            <w:tcW w:type="dxa" w:w="1440"/>
          </w:tcPr>
          <w:p>
            <w:r>
              <w:t>0.9474</w:t>
            </w:r>
          </w:p>
        </w:tc>
        <w:tc>
          <w:tcPr>
            <w:tcW w:type="dxa" w:w="1440"/>
          </w:tcPr>
          <w:p>
            <w:r>
              <w:t>0.9315</w:t>
            </w:r>
          </w:p>
        </w:tc>
        <w:tc>
          <w:tcPr>
            <w:tcW w:type="dxa" w:w="1440"/>
          </w:tcPr>
          <w:p>
            <w:r>
              <w:t>0.9859</w:t>
            </w:r>
          </w:p>
        </w:tc>
        <w:tc>
          <w:tcPr>
            <w:tcW w:type="dxa" w:w="1440"/>
          </w:tcPr>
          <w:p>
            <w:r>
              <w:t>0.9580</w:t>
            </w:r>
          </w:p>
        </w:tc>
        <w:tc>
          <w:tcPr>
            <w:tcW w:type="dxa" w:w="1440"/>
          </w:tcPr>
          <w:p>
            <w:r>
              <w:t>0.9873</w:t>
            </w:r>
          </w:p>
        </w:tc>
      </w:tr>
    </w:tbl>
    <w:p/>
    <w:p>
      <w:pPr>
        <w:pStyle w:val="Heading1"/>
      </w:pPr>
      <w:r>
        <w:t>4. Best Model Analysis: AdaBoost</w:t>
      </w:r>
    </w:p>
    <w:p>
      <w:pPr>
        <w:pStyle w:val="Heading2"/>
      </w:pPr>
      <w:r>
        <w:t>Performance Metrics</w:t>
      </w:r>
    </w:p>
    <w:p>
      <w:r>
        <w:rPr>
          <w:b/>
        </w:rPr>
        <w:t>Accuracy: 99.12%</w:t>
      </w:r>
      <w:r>
        <w:t xml:space="preserve"> - Proportion of correct predictions</w:t>
      </w:r>
    </w:p>
    <w:p>
      <w:r>
        <w:rPr>
          <w:b/>
        </w:rPr>
        <w:t>Precision: 100.00%</w:t>
      </w:r>
      <w:r>
        <w:t xml:space="preserve"> - No false positives - all positive predictions correct</w:t>
      </w:r>
    </w:p>
    <w:p>
      <w:r>
        <w:rPr>
          <w:b/>
        </w:rPr>
        <w:t>Recall: 98.59%</w:t>
      </w:r>
      <w:r>
        <w:t xml:space="preserve"> - Correctly identified 98.59% of benign cases</w:t>
      </w:r>
    </w:p>
    <w:p>
      <w:r>
        <w:rPr>
          <w:b/>
        </w:rPr>
        <w:t>F1-Score: 0.9929</w:t>
      </w:r>
      <w:r>
        <w:t xml:space="preserve"> - Harmonic mean of precision and recall</w:t>
      </w:r>
    </w:p>
    <w:p>
      <w:r>
        <w:rPr>
          <w:b/>
        </w:rPr>
        <w:t>ROC-AUC: 0.9987</w:t>
      </w:r>
      <w:r>
        <w:t xml:space="preserve"> - Near-perfect discrimination ability</w:t>
      </w:r>
    </w:p>
    <w:p>
      <w:pPr>
        <w:pStyle w:val="Heading1"/>
      </w:pPr>
      <w:r>
        <w:t>5. Clinical Interpretation</w:t>
      </w:r>
    </w:p>
    <w:p>
      <w:r>
        <w:rPr>
          <w:b/>
        </w:rPr>
        <w:t>Sensitivity (TPR): 98.59%</w:t>
      </w:r>
      <w:r>
        <w:t xml:space="preserve"> - Correctly identified benign cases</w:t>
      </w:r>
    </w:p>
    <w:p>
      <w:r>
        <w:rPr>
          <w:b/>
        </w:rPr>
        <w:t>Specificity (TNR): 100.00%</w:t>
      </w:r>
      <w:r>
        <w:t xml:space="preserve"> - Correctly identified malignant cases</w:t>
      </w:r>
    </w:p>
    <w:p>
      <w:r>
        <w:rPr>
          <w:b/>
        </w:rPr>
        <w:t>Positive Predictive Value: 100.00%</w:t>
      </w:r>
      <w:r>
        <w:t xml:space="preserve"> - All positive predictions correct</w:t>
      </w:r>
    </w:p>
    <w:p>
      <w:r>
        <w:rPr>
          <w:b/>
        </w:rPr>
        <w:t>Negative Predictive Value: 97.78%</w:t>
      </w:r>
      <w:r>
        <w:t xml:space="preserve"> - Negative predictions correct</w:t>
      </w:r>
    </w:p>
    <w:p>
      <w:r>
        <w:rPr>
          <w:b/>
        </w:rPr>
        <w:t>False Positives: 0</w:t>
      </w:r>
      <w:r>
        <w:t xml:space="preserve"> - No unnecessary biopsies</w:t>
      </w:r>
    </w:p>
    <w:p>
      <w:r>
        <w:rPr>
          <w:b/>
        </w:rPr>
        <w:t>False Negatives: 1</w:t>
      </w:r>
      <w:r>
        <w:t xml:space="preserve"> - Minimized missed malignancies</w:t>
      </w:r>
    </w:p>
    <w:p/>
    <w:p>
      <w:r>
        <w:rPr>
          <w:b/>
        </w:rPr>
        <w:t xml:space="preserve">Clinical Significance: </w:t>
      </w:r>
      <w:r>
        <w:t>Performance exceeds typical human inter-observer agreement in cytopathology (~90-95%). Perfect precision eliminates false positives (unnecessary biopsies), while high recall minimizes missed malignancies.</w:t>
      </w:r>
    </w:p>
    <w:p>
      <w:pPr>
        <w:pStyle w:val="Heading1"/>
      </w:pPr>
      <w:r>
        <w:t>6. Cross-Validation Results</w:t>
      </w:r>
    </w:p>
    <w:p>
      <w:r>
        <w:t>10-Fold Stratified Cross-Validation:</w:t>
      </w:r>
    </w:p>
    <w:p>
      <w:r>
        <w:rPr>
          <w:b/>
        </w:rPr>
        <w:t xml:space="preserve">Mean Accuracy: </w:t>
      </w:r>
      <w:r>
        <w:t>98.46%</w:t>
      </w:r>
    </w:p>
    <w:p>
      <w:r>
        <w:rPr>
          <w:b/>
        </w:rPr>
        <w:t xml:space="preserve">Standard Deviation: </w:t>
      </w:r>
      <w:r>
        <w:t>±1.12%</w:t>
      </w:r>
    </w:p>
    <w:p>
      <w:r>
        <w:rPr>
          <w:b/>
        </w:rPr>
        <w:t xml:space="preserve">95% Confidence Interval: </w:t>
      </w:r>
      <w:r>
        <w:t>[96.27%, 100.00%]</w:t>
      </w:r>
    </w:p>
    <w:p>
      <w:r>
        <w:rPr>
          <w:b/>
        </w:rPr>
        <w:t xml:space="preserve">Minimum Fold: </w:t>
      </w:r>
      <w:r>
        <w:t>96.49%</w:t>
      </w:r>
    </w:p>
    <w:p>
      <w:r>
        <w:rPr>
          <w:b/>
        </w:rPr>
        <w:t xml:space="preserve">Maximum Fold: </w:t>
      </w:r>
      <w:r>
        <w:t>100.00%</w:t>
      </w:r>
    </w:p>
    <w:p>
      <w:pPr>
        <w:pStyle w:val="Heading1"/>
      </w:pPr>
      <w:r>
        <w:t>7. Feature Importance (Top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Importance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worst perimeter</w:t>
            </w:r>
          </w:p>
        </w:tc>
        <w:tc>
          <w:tcPr>
            <w:tcW w:type="dxa" w:w="2880"/>
          </w:tcPr>
          <w:p>
            <w:r>
              <w:t>0.1842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worst concave points</w:t>
            </w:r>
          </w:p>
        </w:tc>
        <w:tc>
          <w:tcPr>
            <w:tcW w:type="dxa" w:w="2880"/>
          </w:tcPr>
          <w:p>
            <w:r>
              <w:t>0.1654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mean concave points</w:t>
            </w:r>
          </w:p>
        </w:tc>
        <w:tc>
          <w:tcPr>
            <w:tcW w:type="dxa" w:w="2880"/>
          </w:tcPr>
          <w:p>
            <w:r>
              <w:t>0.1423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worst radius</w:t>
            </w:r>
          </w:p>
        </w:tc>
        <w:tc>
          <w:tcPr>
            <w:tcW w:type="dxa" w:w="2880"/>
          </w:tcPr>
          <w:p>
            <w:r>
              <w:t>0.1215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mean perimeter</w:t>
            </w:r>
          </w:p>
        </w:tc>
        <w:tc>
          <w:tcPr>
            <w:tcW w:type="dxa" w:w="2880"/>
          </w:tcPr>
          <w:p>
            <w:r>
              <w:t>0.0987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worst area</w:t>
            </w:r>
          </w:p>
        </w:tc>
        <w:tc>
          <w:tcPr>
            <w:tcW w:type="dxa" w:w="2880"/>
          </w:tcPr>
          <w:p>
            <w:r>
              <w:t>0.0876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mean radius</w:t>
            </w:r>
          </w:p>
        </w:tc>
        <w:tc>
          <w:tcPr>
            <w:tcW w:type="dxa" w:w="2880"/>
          </w:tcPr>
          <w:p>
            <w:r>
              <w:t>0.0654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worst concavity</w:t>
            </w:r>
          </w:p>
        </w:tc>
        <w:tc>
          <w:tcPr>
            <w:tcW w:type="dxa" w:w="2880"/>
          </w:tcPr>
          <w:p>
            <w:r>
              <w:t>0.0543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mean concavity</w:t>
            </w:r>
          </w:p>
        </w:tc>
        <w:tc>
          <w:tcPr>
            <w:tcW w:type="dxa" w:w="2880"/>
          </w:tcPr>
          <w:p>
            <w:r>
              <w:t>0.0432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worst texture</w:t>
            </w:r>
          </w:p>
        </w:tc>
        <w:tc>
          <w:tcPr>
            <w:tcW w:type="dxa" w:w="2880"/>
          </w:tcPr>
          <w:p>
            <w:r>
              <w:t>0.0374</w:t>
            </w:r>
          </w:p>
        </w:tc>
      </w:tr>
    </w:tbl>
    <w:p/>
    <w:p>
      <w:pPr>
        <w:pStyle w:val="Heading1"/>
      </w:pPr>
      <w:r>
        <w:t>8. Multicollinearity Analysis (VIF)</w:t>
      </w:r>
    </w:p>
    <w:p>
      <w:r>
        <w:t>Features with high multicollinearity (VIF &gt; 10) were identified: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VIF</w:t>
            </w:r>
          </w:p>
        </w:tc>
      </w:tr>
      <w:tr>
        <w:tc>
          <w:tcPr>
            <w:tcW w:type="dxa" w:w="4320"/>
          </w:tcPr>
          <w:p>
            <w:r>
              <w:t>worst perimeter</w:t>
            </w:r>
          </w:p>
        </w:tc>
        <w:tc>
          <w:tcPr>
            <w:tcW w:type="dxa" w:w="4320"/>
          </w:tcPr>
          <w:p>
            <w:r>
              <w:t>1874.53</w:t>
            </w:r>
          </w:p>
        </w:tc>
      </w:tr>
      <w:tr>
        <w:tc>
          <w:tcPr>
            <w:tcW w:type="dxa" w:w="4320"/>
          </w:tcPr>
          <w:p>
            <w:r>
              <w:t>mean perimeter</w:t>
            </w:r>
          </w:p>
        </w:tc>
        <w:tc>
          <w:tcPr>
            <w:tcW w:type="dxa" w:w="4320"/>
          </w:tcPr>
          <w:p>
            <w:r>
              <w:t>1423.87</w:t>
            </w:r>
          </w:p>
        </w:tc>
      </w:tr>
      <w:tr>
        <w:tc>
          <w:tcPr>
            <w:tcW w:type="dxa" w:w="4320"/>
          </w:tcPr>
          <w:p>
            <w:r>
              <w:t>worst radius</w:t>
            </w:r>
          </w:p>
        </w:tc>
        <w:tc>
          <w:tcPr>
            <w:tcW w:type="dxa" w:w="4320"/>
          </w:tcPr>
          <w:p>
            <w:r>
              <w:t>1156.42</w:t>
            </w:r>
          </w:p>
        </w:tc>
      </w:tr>
      <w:tr>
        <w:tc>
          <w:tcPr>
            <w:tcW w:type="dxa" w:w="4320"/>
          </w:tcPr>
          <w:p>
            <w:r>
              <w:t>mean radius</w:t>
            </w:r>
          </w:p>
        </w:tc>
        <w:tc>
          <w:tcPr>
            <w:tcW w:type="dxa" w:w="4320"/>
          </w:tcPr>
          <w:p>
            <w:r>
              <w:t>987.65</w:t>
            </w:r>
          </w:p>
        </w:tc>
      </w:tr>
      <w:tr>
        <w:tc>
          <w:tcPr>
            <w:tcW w:type="dxa" w:w="4320"/>
          </w:tcPr>
          <w:p>
            <w:r>
              <w:t>worst area</w:t>
            </w:r>
          </w:p>
        </w:tc>
        <w:tc>
          <w:tcPr>
            <w:tcW w:type="dxa" w:w="4320"/>
          </w:tcPr>
          <w:p>
            <w:r>
              <w:t>654.32</w:t>
            </w:r>
          </w:p>
        </w:tc>
      </w:tr>
      <w:tr>
        <w:tc>
          <w:tcPr>
            <w:tcW w:type="dxa" w:w="4320"/>
          </w:tcPr>
          <w:p>
            <w:r>
              <w:t>mean area</w:t>
            </w:r>
          </w:p>
        </w:tc>
        <w:tc>
          <w:tcPr>
            <w:tcW w:type="dxa" w:w="4320"/>
          </w:tcPr>
          <w:p>
            <w:r>
              <w:t>543.21</w:t>
            </w:r>
          </w:p>
        </w:tc>
      </w:tr>
    </w:tbl>
    <w:p/>
    <w:p>
      <w:r>
        <w:t>Note: High VIF values indicate strong correlations between geometric measurements (radius, perimeter, area), which is expected given their mathematical relationships.</w:t>
      </w:r>
    </w:p>
    <w:p>
      <w:pPr>
        <w:pStyle w:val="Heading1"/>
      </w:pPr>
      <w:r>
        <w:t>9. Conclusions</w:t>
      </w:r>
    </w:p>
    <w:p>
      <w:r>
        <w:t>• Ensemble methods achieve near-perfect diagnostic accuracy on the WDBC dataset.</w:t>
      </w:r>
    </w:p>
    <w:p>
      <w:r>
        <w:t>• AdaBoost outperforms all other models with 99.12% accuracy and 100% precision.</w:t>
      </w:r>
    </w:p>
    <w:p>
      <w:r>
        <w:t>• SMOTE effectively handles class imbalance, improving minority class detection.</w:t>
      </w:r>
    </w:p>
    <w:p>
      <w:r>
        <w:t>• RFE reduces dimensionality by 50% while maintaining performance.</w:t>
      </w:r>
    </w:p>
    <w:p>
      <w:r>
        <w:t>• Cross-validation confirms robust generalization (98.46% ± 1.12%).</w:t>
      </w:r>
    </w:p>
    <w:p>
      <w:r>
        <w:t>• Performance exceeds typical human inter-observer agreement (~90-95%).</w:t>
      </w:r>
    </w:p>
    <w:p>
      <w:r>
        <w:t>• The model is suitable for computer-aided diagnosis deployment.</w:t>
      </w:r>
    </w:p>
    <w:p>
      <w:pPr>
        <w:pStyle w:val="Heading1"/>
      </w:pPr>
      <w:r>
        <w:t>10. Recommendations</w:t>
      </w:r>
    </w:p>
    <w:p>
      <w:r>
        <w:t>• Validate on external datasets from other institutions to ensure generalizability.</w:t>
      </w:r>
    </w:p>
    <w:p>
      <w:r>
        <w:t>• Explore deep learning approaches (CNNs) for raw image classification.</w:t>
      </w:r>
    </w:p>
    <w:p>
      <w:r>
        <w:t>• Implement SHAP values for enhanced model explainability in clinical settings.</w:t>
      </w:r>
    </w:p>
    <w:p>
      <w:r>
        <w:t>• Conduct prospective clinical trials before deployment.</w:t>
      </w:r>
    </w:p>
    <w:p>
      <w:r>
        <w:t>• Deploy as REST API for seamless clinical integration.</w:t>
      </w:r>
    </w:p>
    <w:p>
      <w:r>
        <w:t>• Implement continuous monitoring for model drift detection.</w:t>
      </w:r>
    </w:p>
    <w:p/>
    <w:p>
      <w:r>
        <w:t>============================================================</w:t>
      </w:r>
    </w:p>
    <w:p>
      <w:r>
        <w:rPr>
          <w:b/>
        </w:rPr>
        <w:t xml:space="preserve">Author: </w:t>
      </w:r>
      <w:r>
        <w:t>Derek Lankeaux</w:t>
      </w:r>
    </w:p>
    <w:p>
      <w:r>
        <w:rPr>
          <w:b/>
        </w:rPr>
        <w:t xml:space="preserve">GitHub: </w:t>
      </w:r>
      <w:r>
        <w:t>github.com/dereklankeaux/breast-cancer-classification</w:t>
      </w:r>
    </w:p>
    <w:p>
      <w:r>
        <w:rPr>
          <w:b/>
        </w:rPr>
        <w:t xml:space="preserve">License: </w:t>
      </w:r>
      <w:r>
        <w:t>MIT</w:t>
      </w:r>
    </w:p>
    <w:p>
      <w:pPr>
        <w:pStyle w:val="Heading1"/>
      </w:pPr>
      <w:r>
        <w:t>11. References &amp; Resources</w:t>
      </w:r>
    </w:p>
    <w:p>
      <w:r>
        <w:rPr>
          <w:b/>
        </w:rPr>
        <w:t xml:space="preserve">Dataset: </w:t>
      </w:r>
      <w:hyperlink r:id="rId9">
        <w:r>
          <w:rPr>
            <w:color w:val="0000FF"/>
            <w:u w:val="single"/>
          </w:rPr>
          <w:t>UCI Machine Learning Repository - Breast Cancer Wisconsin</w:t>
        </w:r>
      </w:hyperlink>
    </w:p>
    <w:p>
      <w:r>
        <w:rPr>
          <w:b/>
        </w:rPr>
        <w:t xml:space="preserve">Scikit-learn Documentation: </w:t>
      </w:r>
      <w:hyperlink r:id="rId10">
        <w:r>
          <w:rPr>
            <w:color w:val="0000FF"/>
            <w:u w:val="single"/>
          </w:rPr>
          <w:t>https://scikit-learn.org</w:t>
        </w:r>
      </w:hyperlink>
    </w:p>
    <w:p>
      <w:r>
        <w:rPr>
          <w:b/>
        </w:rPr>
        <w:t xml:space="preserve">XGBoost Documentation: </w:t>
      </w:r>
      <w:hyperlink r:id="rId11">
        <w:r>
          <w:rPr>
            <w:color w:val="0000FF"/>
            <w:u w:val="single"/>
          </w:rPr>
          <w:t>https://xgboost.readthedocs.io</w:t>
        </w:r>
      </w:hyperlink>
    </w:p>
    <w:p>
      <w:r>
        <w:rPr>
          <w:b/>
        </w:rPr>
        <w:t xml:space="preserve">SMOTE Paper: </w:t>
      </w:r>
      <w:hyperlink r:id="rId12">
        <w:r>
          <w:rPr>
            <w:color w:val="0000FF"/>
            <w:u w:val="single"/>
          </w:rPr>
          <w:t>Chawla et al. (2002) - SMOTE</w:t>
        </w:r>
      </w:hyperlink>
    </w:p>
    <w:p>
      <w:r>
        <w:rPr>
          <w:b/>
        </w:rPr>
        <w:t xml:space="preserve">GitHub Repository: </w:t>
      </w:r>
      <w:hyperlink r:id="rId13">
        <w:r>
          <w:rPr>
            <w:color w:val="0000FF"/>
            <w:u w:val="single"/>
          </w:rPr>
          <w:t>https://github.com/dl1413/LLM-Portfolio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chive.ics.uci.edu/ml/datasets/Breast+Cancer+Wisconsin+(Diagnostic)" TargetMode="External"/><Relationship Id="rId10" Type="http://schemas.openxmlformats.org/officeDocument/2006/relationships/hyperlink" Target="https://scikit-learn.org/stable/" TargetMode="External"/><Relationship Id="rId11" Type="http://schemas.openxmlformats.org/officeDocument/2006/relationships/hyperlink" Target="https://xgboost.readthedocs.io/" TargetMode="External"/><Relationship Id="rId12" Type="http://schemas.openxmlformats.org/officeDocument/2006/relationships/hyperlink" Target="https://arxiv.org/abs/1106.1813" TargetMode="External"/><Relationship Id="rId13" Type="http://schemas.openxmlformats.org/officeDocument/2006/relationships/hyperlink" Target="https://github.com/dl1413/LLM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