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680" w:lineRule="exact"/>
      </w:pPr>
      <w:r>
        <w:t>Cove Studio v2 데이터베이스 명세서</w:t>
      </w:r>
    </w:p>
    <w:p>
      <w:pPr>
        <w:pStyle w:val="Subtitle"/>
        <w:spacing w:line="280" w:lineRule="exact" w:after="80"/>
      </w:pPr>
      <w:r>
        <w:t>Cove Studio v2  |  담당 John  |  2026년 9월 28일</w:t>
      </w:r>
    </w:p>
    <w:p>
      <w:pPr>
        <w:spacing w:line="280" w:lineRule="exact" w:after="80"/>
      </w:pPr>
      <w:r>
        <w:t>PostgreSQL 영속 모델, 관계 및 애플리케이션 서비스가 의존하는 불변 조건을 설명합니다. ERD와 전체 사전은 Prisma 모델 52개 및 열거형 33개를 다룹니다. 데이터베이스 변경 검토 시 스키마와 순서가 있는 SQL 마이그레이션을 함께 확인하십시오.</w:t>
      </w:r>
    </w:p>
    <w:p>
      <w:pPr>
        <w:pStyle w:val="Heading1"/>
        <w:spacing w:line="440" w:lineRule="exact"/>
      </w:pPr>
      <w:r>
        <w:t>소스 및 명명 규칙</w:t>
      </w:r>
    </w:p>
    <w:p>
      <w:pPr>
        <w:spacing w:line="280" w:lineRule="exact" w:after="80"/>
      </w:pPr>
      <w:r>
        <w:t>기준: 커밋 b095b679b0a9f9ed407aa8abd42c32bf413cca72의 packages/api/prisma/schema.prisma. Prisma 모델·필드는 애플리케이션 이름이며 @@map과 @map이 실제 PostgreSQL 테이블·열 이름을 지정합니다. 관계 배열과 객체 접근자는 물리 열이 아닙니다.</w:t>
      </w:r>
    </w:p>
    <w:p>
      <w:pPr>
        <w:spacing w:line="280" w:lineRule="exact" w:after="80"/>
      </w:pPr>
      <w:r>
        <w:t>필드 CSV 및 Markdown 사전은 관계 접근자를 포함한 필드 선언 800개, 타입, null 허용 여부 및 속성을 제공합니다. 편집 가능한 ERD는 Mermaid와 draw.io 형식입니다. SQL 마이그레이션 제약은 별도 부록을 참조하십시오.</w:t>
      </w:r>
    </w:p>
    <w:tbl>
      <w:tblPr>
        <w:tblW w:type="auto" w:w="0"/>
        <w:tblLayout w:type="fixed"/>
        <w:tblLook w:firstColumn="1" w:firstRow="1" w:lastColumn="0" w:lastRow="0" w:noHBand="0" w:noVBand="1" w:val="04A0"/>
      </w:tblPr>
      <w:tblGrid>
        <w:gridCol w:w="2448"/>
        <w:gridCol w:w="7632"/>
      </w:tblGrid>
      <w:tr>
        <w:trPr>
          <w:cantSplit/>
          <w:tblHeader/>
        </w:trPr>
        <w:tc>
          <w:tcPr>
            <w:tcW w:type="dxa" w:w="2448"/>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영역</w:t>
            </w:r>
          </w:p>
        </w:tc>
        <w:tc>
          <w:tcPr>
            <w:tcW w:type="dxa" w:w="7632"/>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주요 레코드</w:t>
            </w:r>
          </w:p>
        </w:tc>
      </w:tr>
      <w:tr>
        <w:trPr>
          <w:cantSplit/>
        </w:trPr>
        <w:tc>
          <w:tcPr>
            <w:tcW w:type="dxa" w:w="2448"/>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사용자 및 학원 구분</w:t>
            </w:r>
          </w:p>
        </w:tc>
        <w:tc>
          <w:tcPr>
            <w:tcW w:type="dxa" w:w="7632"/>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User, Organization, Academy, AcademyMembership 및 역할·프로필 레코드</w:t>
            </w:r>
          </w:p>
        </w:tc>
      </w:tr>
      <w:tr>
        <w:trPr>
          <w:cantSplit/>
        </w:trPr>
        <w:tc>
          <w:tcPr>
            <w:tcW w:type="dxa" w:w="2448"/>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온보딩 및 운영</w:t>
            </w:r>
          </w:p>
        </w:tc>
        <w:tc>
          <w:tcPr>
            <w:tcW w:type="dxa" w:w="7632"/>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초대, 가입 신청, 가져오기 세션, 일괄 작업 및 전달 시도</w:t>
            </w:r>
          </w:p>
        </w:tc>
      </w:tr>
      <w:tr>
        <w:trPr>
          <w:cantSplit/>
        </w:trPr>
        <w:tc>
          <w:tcPr>
            <w:tcW w:type="dxa" w:w="2448"/>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커리큘럼 및 반 접근</w:t>
            </w:r>
          </w:p>
        </w:tc>
        <w:tc>
          <w:tcPr>
            <w:tcW w:type="dxa" w:w="7632"/>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Course, CourseModule, Lecture, Material, ProgrammingExercise, Class 및 연결 테이블</w:t>
            </w:r>
          </w:p>
        </w:tc>
      </w:tr>
      <w:tr>
        <w:trPr>
          <w:cantSplit/>
        </w:trPr>
        <w:tc>
          <w:tcPr>
            <w:tcW w:type="dxa" w:w="2448"/>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학습 및 채점</w:t>
            </w:r>
          </w:p>
        </w:tc>
        <w:tc>
          <w:tcPr>
            <w:tcW w:type="dxa" w:w="7632"/>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초안, 협업 문서, 제출 스냅샷·사례 및 진도</w:t>
            </w:r>
          </w:p>
        </w:tc>
      </w:tr>
      <w:tr>
        <w:trPr>
          <w:cantSplit/>
        </w:trPr>
        <w:tc>
          <w:tcPr>
            <w:tcW w:type="dxa" w:w="2448"/>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수업 및 보상</w:t>
            </w:r>
          </w:p>
        </w:tc>
        <w:tc>
          <w:tcPr>
            <w:tcW w:type="dxa" w:w="7632"/>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모니터링 방문, 피드백, 도움 요청, 학습일, 포인트 및 시간표</w:t>
            </w:r>
          </w:p>
        </w:tc>
      </w:tr>
    </w:tbl>
    <w:p>
      <w:pPr>
        <w:spacing w:line="280" w:lineRule="exact" w:after="80"/>
      </w:pPr>
    </w:p>
    <w:p>
      <w:pPr>
        <w:pStyle w:val="Heading1"/>
        <w:spacing w:line="440" w:lineRule="exact"/>
      </w:pPr>
      <w:r>
        <w:t>식별자와 경계</w:t>
      </w:r>
    </w:p>
    <w:p>
      <w:pPr>
        <w:spacing w:line="280" w:lineRule="exact" w:after="80"/>
      </w:pPr>
      <w:r>
        <w:t>대부분의 도메인 식별자는 UUID입니다. ClassCourse와 ClassEnrollment는 복합 키로 중복 강좌 배정·수강 등록을 방지합니다. 학원 멤버십은 학원·사용자별로 유일합니다. 커리큘럼 계층을 따라 강좌 범위를 확인하며 전달받은 객체 ID만 신뢰하지 않고 전체 경로를 검증해야 합니다.</w:t>
      </w:r>
    </w:p>
    <w:p>
      <w:pPr>
        <w:pStyle w:val="Heading1"/>
        <w:spacing w:line="440" w:lineRule="exact"/>
      </w:pPr>
      <w:r>
        <w:t>외래 키와 권한의 구분</w:t>
      </w:r>
    </w:p>
    <w:p>
      <w:pPr>
        <w:spacing w:line="280" w:lineRule="exact" w:after="80"/>
      </w:pPr>
      <w:r>
        <w:t>유효한 데이터베이스 관계만으로 요청 권한이 생기지 않습니다. 서비스 조건이 활성 사용자·멤버십, 보유 역할, 학원 상태, 공개 여부, 수강 등록 및 유효 강사 배정을 검사합니다. 권한 매트릭스와 함께 검토하십시오.</w:t>
      </w:r>
    </w:p>
    <w:p>
      <w:pPr>
        <w:spacing w:line="280" w:lineRule="exact" w:after="80"/>
      </w:pPr>
      <w:r>
        <w:br w:type="page"/>
      </w:r>
    </w:p>
    <w:p>
      <w:pPr>
        <w:pStyle w:val="Heading1"/>
        <w:spacing w:line="440" w:lineRule="exact"/>
      </w:pPr>
      <w:r>
        <w:t>사용자 및 멤버십</w:t>
      </w:r>
    </w:p>
    <w:tbl>
      <w:tblPr>
        <w:tblW w:type="auto" w:w="0"/>
        <w:tblLayout w:type="fixed"/>
        <w:tblLook w:firstColumn="1" w:firstRow="1" w:lastColumn="0" w:lastRow="0" w:noHBand="0" w:noVBand="1" w:val="04A0"/>
      </w:tblPr>
      <w:tblGrid>
        <w:gridCol w:w="3096"/>
        <w:gridCol w:w="3744"/>
        <w:gridCol w:w="3240"/>
      </w:tblGrid>
      <w:tr>
        <w:trPr>
          <w:cantSplit/>
          <w:tblHeader/>
        </w:trPr>
        <w:tc>
          <w:tcPr>
            <w:tcW w:type="dxa" w:w="3096"/>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모델</w:t>
            </w:r>
          </w:p>
        </w:tc>
        <w:tc>
          <w:tcPr>
            <w:tcW w:type="dxa" w:w="3744"/>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실제 테이블</w:t>
            </w:r>
          </w:p>
        </w:tc>
        <w:tc>
          <w:tcPr>
            <w:tcW w:type="dxa" w:w="3240"/>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키 또는 범위 필드</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User</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users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authUserId, email, username, legacyUserId, legacyUsername</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Organization</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organizations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slug</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academies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AcademyMembership</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academy_memberships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userId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AcademyMembership</w:t>
              <w:br/>
              <w:t>Role</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academy_membership_roles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membershipId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StudentIssued</w:t>
              <w:br/>
              <w:t>Credential</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student_issued_</w:t>
              <w:br/>
              <w:t>credentials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userId, academyId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AcademyMember</w:t>
              <w:br/>
              <w:t>Profile</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academy_member_profiles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membershipId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StudentAcademy</w:t>
              <w:br/>
              <w:t>Profile</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student_academy_profiles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membershipId, academyId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StaffAcademy</w:t>
              <w:br/>
              <w:t>Profile</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staff_academy_profiles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membershipId, 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MediaAsset</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media_assets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objectKey</w:t>
            </w:r>
          </w:p>
        </w:tc>
      </w:tr>
    </w:tbl>
    <w:p>
      <w:pPr>
        <w:spacing w:line="280" w:lineRule="exact" w:after="80"/>
      </w:pPr>
    </w:p>
    <w:p>
      <w:pPr>
        <w:spacing w:line="280" w:lineRule="exact" w:after="80"/>
      </w:pPr>
      <w:r>
        <w:t>AcademyMembership.role은 기본 역할을, AcademyMembershipRole은 추가 직원 역할을 저장합니다. 유효 권한은 합집합이며 학생은 직원 역할과 함께 보유할 수 없습니다. 멤버십 고유성은 같은 사용자가 같은 학원에 두 행을 갖는 것을 방지합니다.</w:t>
      </w:r>
    </w:p>
    <w:p>
      <w:pPr>
        <w:spacing w:line="280" w:lineRule="exact" w:after="80"/>
      </w:pPr>
      <w:r>
        <w:t>StudentIssuedCredential은 플랫폼 발급 학생 비밀번호만 인증 암호화 필드에 저장합니다. 계정 소유자가 비밀번호를 바꾸면 제거합니다. 프로필 레코드는 전역 사용자 정보와 학원별 정보를 분리합니다.</w:t>
      </w:r>
    </w:p>
    <w:p>
      <w:pPr>
        <w:spacing w:line="280" w:lineRule="exact" w:after="80"/>
      </w:pPr>
      <w:r>
        <w:br w:type="page"/>
      </w:r>
    </w:p>
    <w:p>
      <w:pPr>
        <w:pStyle w:val="Heading1"/>
        <w:spacing w:line="440" w:lineRule="exact"/>
      </w:pPr>
      <w:r>
        <w:t>온보딩 및 플랫폼 레코드</w:t>
      </w:r>
    </w:p>
    <w:tbl>
      <w:tblPr>
        <w:tblW w:type="auto" w:w="0"/>
        <w:tblLayout w:type="fixed"/>
        <w:tblLook w:firstColumn="1" w:firstRow="1" w:lastColumn="0" w:lastRow="0" w:noHBand="0" w:noVBand="1" w:val="04A0"/>
      </w:tblPr>
      <w:tblGrid>
        <w:gridCol w:w="3096"/>
        <w:gridCol w:w="3744"/>
        <w:gridCol w:w="3240"/>
      </w:tblGrid>
      <w:tr>
        <w:trPr>
          <w:cantSplit/>
          <w:tblHeader/>
        </w:trPr>
        <w:tc>
          <w:tcPr>
            <w:tcW w:type="dxa" w:w="3096"/>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모델</w:t>
            </w:r>
          </w:p>
        </w:tc>
        <w:tc>
          <w:tcPr>
            <w:tcW w:type="dxa" w:w="3744"/>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실제 테이블</w:t>
            </w:r>
          </w:p>
        </w:tc>
        <w:tc>
          <w:tcPr>
            <w:tcW w:type="dxa" w:w="3240"/>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키 또는 범위 필드</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AcademyFeatureFlag</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academy_feature_flags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OAuthOnboarding</w:t>
              <w:br/>
              <w:t>Intent</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oauth_onboarding_intents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tokenHash, academyId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AcademySlugHistory</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academy_slug_history</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slug, 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AcademyInvitation</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academy_invitations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tokenHash</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AcademyJoinRequest</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academy_join_requests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userId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AcademyMedia</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academy_media</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PeopleImport</w:t>
              <w:br/>
              <w:t>Session</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people_import_sessions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ContentImport</w:t>
              <w:br/>
              <w:t>Session</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content_import_sessions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courseId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PeopleBulk</w:t>
              <w:br/>
              <w:t>Operation</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people_bulk_operations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InvitationDelivery</w:t>
              <w:br/>
              <w:t>Attempt</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invitation_delivery_</w:t>
              <w:br/>
              <w:t>attempts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lastEventKey</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AuditLog</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audit_logs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PlatformSupport</w:t>
              <w:br/>
              <w:t>Grant</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platform_support_grants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PlatformOperation</w:t>
              <w:br/>
              <w:t>Run</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platform_operation_runs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bl>
    <w:p>
      <w:pPr>
        <w:spacing w:line="280" w:lineRule="exact" w:after="80"/>
      </w:pPr>
    </w:p>
    <w:p>
      <w:pPr>
        <w:spacing w:line="280" w:lineRule="exact" w:after="80"/>
      </w:pPr>
      <w:r>
        <w:t>초대 토큰은 해시로 보관하고 전달 시도는 전달 상태를 기록합니다. 가져오기·일괄 세션은 미리보기·확정 수명주기와 멱등성을 보존합니다. OAuth 의도 상태는 외부 인증 중 선택 학원을 유지합니다.</w:t>
      </w:r>
    </w:p>
    <w:p>
      <w:pPr>
        <w:spacing w:line="280" w:lineRule="exact" w:after="80"/>
      </w:pPr>
      <w:r>
        <w:t>AuditLog와 PlatformSupportGrant는 행위 추적 및 제한된 지원 세션을 지원합니다. PlatformOperationRun은 운영 작업을 추적합니다. 학원 종류 LIBRARY는 일반 학생 학원이 아닌 플랫폼 소유 커리큘럼을 뜻합니다.</w:t>
      </w:r>
    </w:p>
    <w:p>
      <w:pPr>
        <w:spacing w:line="280" w:lineRule="exact" w:after="80"/>
      </w:pPr>
      <w:r>
        <w:br w:type="page"/>
      </w:r>
    </w:p>
    <w:p>
      <w:pPr>
        <w:pStyle w:val="Heading1"/>
        <w:spacing w:line="440" w:lineRule="exact"/>
      </w:pPr>
      <w:r>
        <w:t>커리큘럼 및 반</w:t>
      </w:r>
    </w:p>
    <w:tbl>
      <w:tblPr>
        <w:tblW w:type="auto" w:w="0"/>
        <w:tblLayout w:type="fixed"/>
        <w:tblLook w:firstColumn="1" w:firstRow="1" w:lastColumn="0" w:lastRow="0" w:noHBand="0" w:noVBand="1" w:val="04A0"/>
      </w:tblPr>
      <w:tblGrid>
        <w:gridCol w:w="3096"/>
        <w:gridCol w:w="3744"/>
        <w:gridCol w:w="3240"/>
      </w:tblGrid>
      <w:tr>
        <w:trPr>
          <w:cantSplit/>
          <w:tblHeader/>
        </w:trPr>
        <w:tc>
          <w:tcPr>
            <w:tcW w:type="dxa" w:w="3096"/>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모델</w:t>
            </w:r>
          </w:p>
        </w:tc>
        <w:tc>
          <w:tcPr>
            <w:tcW w:type="dxa" w:w="3744"/>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실제 테이블</w:t>
            </w:r>
          </w:p>
        </w:tc>
        <w:tc>
          <w:tcPr>
            <w:tcW w:type="dxa" w:w="3240"/>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키 또는 범위 필드</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Course</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courses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classes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ClassAssistant</w:t>
              <w:br/>
              <w:t>Teacher</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class_assistant_teachers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classId, membershipId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ClassCourse</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class_courses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classId, courseId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ClassEnrollment</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class_enrollments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classId, membershipId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CourseModule</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course_modules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courseId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Lecture</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lectures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Material</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materials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Programming</w:t>
              <w:br/>
              <w:t>Exercise</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programming_exercises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materialId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ExerciseTestCase</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exercise_test_cases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ExerciseHint</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exercise_hints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w:t>
            </w:r>
          </w:p>
        </w:tc>
      </w:tr>
    </w:tbl>
    <w:p>
      <w:pPr>
        <w:spacing w:line="280" w:lineRule="exact" w:after="80"/>
      </w:pPr>
    </w:p>
    <w:p>
      <w:pPr>
        <w:spacing w:line="280" w:lineRule="exact" w:after="80"/>
      </w:pPr>
      <w:r>
        <w:t>작성 계층은 Course → CourseModule → Lecture → Material → ProgrammingExercise입니다. 형제 위치의 고유성이 순서를 유지합니다. 상위 항목의 공개 상태에 따라 하위 접근이 차단될 수 있습니다.</w:t>
      </w:r>
    </w:p>
    <w:p>
      <w:pPr>
        <w:spacing w:line="280" w:lineRule="exact" w:after="80"/>
      </w:pPr>
      <w:r>
        <w:t>ClassCourse는 강좌를 반에 연결하고 ClassEnrollment는 학원 멤버십을 반에 등록합니다. Class.teacherMembershipId와 ClassAssistantTeacher는 담임·보조 강사 배정을 표현합니다. 강좌 원본·기준 리비전은 라이브러리 출처와 로컬 편집을 구분합니다.</w:t>
      </w:r>
    </w:p>
    <w:p>
      <w:pPr>
        <w:spacing w:line="280" w:lineRule="exact" w:after="80"/>
      </w:pPr>
      <w:r>
        <w:br w:type="page"/>
      </w:r>
    </w:p>
    <w:p>
      <w:pPr>
        <w:pStyle w:val="Heading1"/>
        <w:spacing w:line="440" w:lineRule="exact"/>
      </w:pPr>
      <w:r>
        <w:t>학생 작업 및 채점</w:t>
      </w:r>
    </w:p>
    <w:tbl>
      <w:tblPr>
        <w:tblW w:type="auto" w:w="0"/>
        <w:tblLayout w:type="fixed"/>
        <w:tblLook w:firstColumn="1" w:firstRow="1" w:lastColumn="0" w:lastRow="0" w:noHBand="0" w:noVBand="1" w:val="04A0"/>
      </w:tblPr>
      <w:tblGrid>
        <w:gridCol w:w="3096"/>
        <w:gridCol w:w="3744"/>
        <w:gridCol w:w="3240"/>
      </w:tblGrid>
      <w:tr>
        <w:trPr>
          <w:cantSplit/>
          <w:tblHeader/>
        </w:trPr>
        <w:tc>
          <w:tcPr>
            <w:tcW w:type="dxa" w:w="3096"/>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모델</w:t>
            </w:r>
          </w:p>
        </w:tc>
        <w:tc>
          <w:tcPr>
            <w:tcW w:type="dxa" w:w="3744"/>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실제 테이블</w:t>
            </w:r>
          </w:p>
        </w:tc>
        <w:tc>
          <w:tcPr>
            <w:tcW w:type="dxa" w:w="3240"/>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키 또는 범위 필드</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ExerciseDraft</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exercise_drafts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userId, materialId, courseId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w:t>
              <w:br/>
              <w:t>Collaboration</w:t>
              <w:br/>
              <w:t>Document</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exercise_collaboration_</w:t>
              <w:br/>
              <w:t>documents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draftId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Submission</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submissions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userId, materialId, courseId, classId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ExerciseSolve</w:t>
              <w:br/>
              <w:t>Session</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exercise_solve_sessions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userId, materialId, classId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SubmissionGrading</w:t>
              <w:br/>
              <w:t>Case</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submission_grading_cases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SubmissionCase</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submission_cases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StudentExercise</w:t>
              <w:br/>
              <w:t>Progress</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student_exercise_progress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userId, materialId</w:t>
            </w:r>
          </w:p>
        </w:tc>
      </w:tr>
    </w:tbl>
    <w:p>
      <w:pPr>
        <w:spacing w:line="280" w:lineRule="exact" w:after="80"/>
      </w:pPr>
    </w:p>
    <w:p>
      <w:pPr>
        <w:spacing w:line="280" w:lineRule="exact" w:after="80"/>
      </w:pPr>
      <w:r>
        <w:t>ExerciseDraft는 작업 중 코드이며 채점 시도가 아닙니다. ExerciseCollaborationDocument는 협업 데이터를 저장합니다. Submission은 코드, 채점 리비전, 실행 제한, 반 맥락 및 과거 표시 이름을 기록하고 SubmissionGradingCase는 비공개 채점 입력을 고정합니다.</w:t>
      </w:r>
    </w:p>
    <w:p>
      <w:pPr>
        <w:spacing w:line="280" w:lineRule="exact" w:after="80"/>
      </w:pPr>
      <w:r>
        <w:t>SubmissionCase는 결과를 제공하며 실제 출력은 샘플에만 공개합니다. StudentExerciseProgress는 결과에 따라 최고 점수·시도 횟수를 관리합니다. 선택적 반·풀이 세션 필드는 오래된 기록을 수용하며 없는 이력을 만들지 않습니다.</w:t>
      </w:r>
    </w:p>
    <w:p>
      <w:pPr>
        <w:spacing w:line="280" w:lineRule="exact" w:after="80"/>
      </w:pPr>
      <w:r>
        <w:br w:type="page"/>
      </w:r>
    </w:p>
    <w:p>
      <w:pPr>
        <w:pStyle w:val="Heading1"/>
        <w:spacing w:line="440" w:lineRule="exact"/>
      </w:pPr>
      <w:r>
        <w:t>수업 활동 및 보상</w:t>
      </w:r>
    </w:p>
    <w:tbl>
      <w:tblPr>
        <w:tblW w:type="auto" w:w="0"/>
        <w:tblLayout w:type="fixed"/>
        <w:tblLook w:firstColumn="1" w:firstRow="1" w:lastColumn="0" w:lastRow="0" w:noHBand="0" w:noVBand="1" w:val="04A0"/>
      </w:tblPr>
      <w:tblGrid>
        <w:gridCol w:w="3096"/>
        <w:gridCol w:w="3744"/>
        <w:gridCol w:w="3240"/>
      </w:tblGrid>
      <w:tr>
        <w:trPr>
          <w:cantSplit/>
          <w:tblHeader/>
        </w:trPr>
        <w:tc>
          <w:tcPr>
            <w:tcW w:type="dxa" w:w="3096"/>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모델</w:t>
            </w:r>
          </w:p>
        </w:tc>
        <w:tc>
          <w:tcPr>
            <w:tcW w:type="dxa" w:w="3744"/>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실제 테이블</w:t>
            </w:r>
          </w:p>
        </w:tc>
        <w:tc>
          <w:tcPr>
            <w:tcW w:type="dxa" w:w="3240"/>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키 또는 범위 필드</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TeacherMonitoring</w:t>
              <w:br/>
              <w:t>Visit</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teacher_monitoring_visits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classId, materialId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TeacherFeedback</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teacher_feedback</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classId, materialId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StudentCourse</w:t>
              <w:br/>
              <w:t>LearningDay</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student_course_learning_</w:t>
              <w:br/>
              <w:t>days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academyId, membershipId, courseId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StudentClassCourse</w:t>
              <w:br/>
              <w:t>LearningDay</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student_class_course_</w:t>
              <w:br/>
              <w:t>learning_days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academyId, membershipId, classId, courseId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LearningActivity</w:t>
              <w:br/>
              <w:t>Flush</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learning_activity_flushes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membershipId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ClassScheduleSlot</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class_schedule_slots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classId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PointAward</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point_awards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membershipId, dedupeKey, materialId, courseId, classId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StudentPoint</w:t>
              <w:br/>
              <w:t>Balance</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student_point_balances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membershipId, academyId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AcademyPointPolicy</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academy_point_policies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academyId</w:t>
            </w:r>
          </w:p>
        </w:tc>
      </w:tr>
      <w:tr>
        <w:trPr>
          <w:cantSplit/>
        </w:trPr>
        <w:tc>
          <w:tcPr>
            <w:tcW w:type="dxa" w:w="3096"/>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StudentHelpRequest</w:t>
            </w:r>
          </w:p>
        </w:tc>
        <w:tc>
          <w:tcPr>
            <w:tcW w:type="dxa" w:w="3744"/>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student_help_requests</w:t>
            </w:r>
          </w:p>
        </w:tc>
        <w:tc>
          <w:tcPr>
            <w:tcW w:type="dxa" w:w="324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id, academyId, classId, materialId</w:t>
            </w:r>
          </w:p>
        </w:tc>
      </w:tr>
      <w:tr>
        <w:trPr>
          <w:cantSplit/>
        </w:trPr>
        <w:tc>
          <w:tcPr>
            <w:tcW w:type="dxa" w:w="3096"/>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HelpRequestReceipt</w:t>
            </w:r>
          </w:p>
        </w:tc>
        <w:tc>
          <w:tcPr>
            <w:tcW w:type="dxa" w:w="3744"/>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help_request_receipts</w:t>
            </w:r>
          </w:p>
        </w:tc>
        <w:tc>
          <w:tcPr>
            <w:tcW w:type="dxa" w:w="324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사전 참조</w:t>
            </w:r>
          </w:p>
        </w:tc>
      </w:tr>
    </w:tbl>
    <w:p>
      <w:pPr>
        <w:spacing w:line="280" w:lineRule="exact" w:after="80"/>
      </w:pPr>
    </w:p>
    <w:p>
      <w:pPr>
        <w:spacing w:line="280" w:lineRule="exact" w:after="80"/>
      </w:pPr>
      <w:r>
        <w:t>TeacherMonitoringVisit는 접근 책임 추적을, TeacherFeedback은 학생 대상 의사소통을 기록합니다. StudentHelpRequest와 HelpRequestReceipt는 도움 대기열 및 멱등 명령을 표현합니다.</w:t>
      </w:r>
    </w:p>
    <w:p>
      <w:pPr>
        <w:spacing w:line="280" w:lineRule="exact" w:after="80"/>
      </w:pPr>
      <w:r>
        <w:t>학습일 기록과 활동 플러시는 제한된 집계에 사용합니다. PointAward는 추가형 원장이고 StudentPointBalance는 파생 잔액입니다. 양수 금액 제약, 중복 방지 키 및 무효 메타데이터가 보상 근거를 유지합니다. ClassScheduleSlot은 학원 현지 시간 구간을 저장합니다.</w:t>
      </w:r>
    </w:p>
    <w:p>
      <w:pPr>
        <w:spacing w:line="280" w:lineRule="exact" w:after="80"/>
      </w:pPr>
      <w:r>
        <w:br w:type="page"/>
      </w:r>
    </w:p>
    <w:p>
      <w:pPr>
        <w:pStyle w:val="Heading1"/>
        <w:spacing w:line="440" w:lineRule="exact"/>
      </w:pPr>
      <w:r>
        <w:t>무결성 및 수명주기 규칙</w:t>
      </w:r>
    </w:p>
    <w:p>
      <w:pPr>
        <w:pStyle w:val="Heading2"/>
        <w:spacing w:line="340" w:lineRule="exact"/>
      </w:pPr>
      <w:r>
        <w:t>키 및 동시성</w:t>
      </w:r>
    </w:p>
    <w:p>
      <w:pPr>
        <w:spacing w:line="280" w:lineRule="exact" w:after="80"/>
      </w:pPr>
      <w:r>
        <w:t>주요 고유성은 학원·사용자 멤버십, 반·강좌, 반·멤버십 수강 등록, 멤버십·추가 역할, 사용자·자료 초안·진도, 제출·테스트 위치 및 PointAward.dedupeKey입니다. SQL 부분 인덱스는 중복 대기 초대·신청 및 동시 활성 제출도 방지합니다.</w:t>
      </w:r>
    </w:p>
    <w:p>
      <w:pPr>
        <w:pStyle w:val="Heading2"/>
        <w:spacing w:line="340" w:lineRule="exact"/>
      </w:pPr>
      <w:r>
        <w:t>삭제 동작</w:t>
      </w:r>
    </w:p>
    <w:p>
      <w:pPr>
        <w:spacing w:line="280" w:lineRule="exact" w:after="80"/>
      </w:pPr>
      <w:r>
        <w:t>각 관계 소유 측의 정확한 onDelete는 전체 사전에 기록됩니다. 소유 하위 항목에는 Cascade, 참조 커리큘럼·출처 보호에는 Restrict, 선택 링크 제거 후 기록 보존에는 SetNull을 사용합니다. 모든 학원 데이터가 논리 삭제되거나 모든 삭제에서 이력이 보존된다고 가정하지 마십시오.</w:t>
      </w:r>
    </w:p>
    <w:p>
      <w:pPr>
        <w:pStyle w:val="Heading2"/>
        <w:spacing w:line="340" w:lineRule="exact"/>
      </w:pPr>
      <w:r>
        <w:t>트랜잭션 경계</w:t>
      </w:r>
    </w:p>
    <w:p>
      <w:pPr>
        <w:spacing w:line="280" w:lineRule="exact" w:after="80"/>
      </w:pPr>
      <w:r>
        <w:t>제출 스냅샷과 채점 입력은 한 트랜잭션에서 생성합니다. 커리큘럼 가져오기는 강좌 잠금 중 리비전을 비교합니다. 보상 중복 방지는 데이터베이스가 보장합니다. 단일 외래 키로 표현할 수 없는 레코드 간 의미 규칙은 서비스가 검사합니다.</w:t>
      </w:r>
    </w:p>
    <w:p>
      <w:pPr>
        <w:pStyle w:val="Heading2"/>
        <w:spacing w:line="340" w:lineRule="exact"/>
      </w:pPr>
      <w:r>
        <w:t>시간 및 과거 데이터</w:t>
      </w:r>
    </w:p>
    <w:p>
      <w:pPr>
        <w:spacing w:line="280" w:lineRule="exact" w:after="80"/>
      </w:pPr>
      <w:r>
        <w:t>시점에는 timestamptz를, 일일 활동·시간표에는 명시적 학원 현지 날짜를 사용합니다. 자정을 넘는 수업의 endMinute는 1440을 초과할 수 있습니다. 제출·포인트의 고정 표시 이름은 이후 이름 변경에도 과거 의미를 보존합니다.</w:t>
      </w:r>
    </w:p>
    <w:p>
      <w:pPr>
        <w:pStyle w:val="Heading2"/>
        <w:spacing w:line="340" w:lineRule="exact"/>
      </w:pPr>
      <w:r>
        <w:t>마이그레이션 검토</w:t>
      </w:r>
    </w:p>
    <w:p>
      <w:pPr>
        <w:spacing w:line="280" w:lineRule="exact" w:after="80"/>
      </w:pPr>
      <w:r>
        <w:t>배포 전 임시 데이터베이스에 순서대로 마이그레이션을 적용합니다. Prisma로 완전히 표현되지 않는 부분 인덱스와 CHECK 제약까지 대조하십시오. 테스트 데이터로 복원·삭제 동작을 검증하고 백업 보존·복구 목표는 운영팀이 결정해야 합니다.</w:t>
      </w:r>
    </w:p>
    <w:p>
      <w:pPr>
        <w:pStyle w:val="Heading2"/>
        <w:spacing w:line="340" w:lineRule="exact"/>
      </w:pPr>
      <w:r>
        <w:t>관련 파일</w:t>
      </w:r>
    </w:p>
    <w:p>
      <w:pPr>
        <w:spacing w:line="280" w:lineRule="exact" w:after="80"/>
      </w:pPr>
      <w:r>
        <w:t>03-database-dictionary.md는 모든 필드·제약·열거형을, 03-database-field-dictionary.csv는 필터 가능한 사전을 제공합니다. 03-complete-erd.mmd는 전체 소유 관계, 03-erd.drawio는 그룹별 편집 화면, 03-sql-constraints.md는 마이그레이션 CHECK 및 부분 인덱스를 제공합니다.</w:t>
      </w:r>
    </w:p>
    <w:p>
      <w:pPr>
        <w:spacing w:line="280" w:lineRule="exact" w:after="80"/>
      </w:pPr>
      <w:r>
        <w:br w:type="page"/>
      </w:r>
    </w:p>
    <w:p>
      <w:pPr>
        <w:pStyle w:val="Heading1"/>
        <w:spacing w:line="440" w:lineRule="exact"/>
      </w:pPr>
      <w:r>
        <w:t>제공된 ERD 대조</w:t>
      </w:r>
    </w:p>
    <w:p>
      <w:pPr>
        <w:spacing w:line="280" w:lineRule="exact" w:after="80"/>
      </w:pPr>
      <w:r>
        <w:t>제공된 cove-erd.svg는 03-user-supplied-erd.svg로 변경 없이 포함했습니다. 헤더는 동일한 b095b679 기준을 표시하며 SVG에서 모델 이름 52개를 모두 확인했습니다. 소스 관계 목록에는 소유 관계 110개, 스키마에는 열거형 33개가 있습니다. 기준·개체 범위·합계를 대조한 것이며 모든 연결선을 수작업으로 비교했다는 뜻은 아닙니다.</w:t>
      </w:r>
    </w:p>
    <w:p>
      <w:pPr>
        <w:spacing w:line="280" w:lineRule="exact" w:after="80"/>
      </w:pPr>
      <w:r>
        <w:t>원본 SVG SHA-256: a6cf24b484757eaef4885919afd8dc6435a49eb8d0b731f5695ca606cf205a18</w:t>
      </w:r>
    </w:p>
    <w:p>
      <w:pPr>
        <w:spacing w:line="280" w:lineRule="exact" w:after="80"/>
      </w:pPr>
      <w:r>
        <w:t>제공 SVG를 시각 참조로 사용하고 Mermaid·그룹별 draw.io는 별도로 생성한 편집 자료로 사용하십시오. 정확한 필드와 참조 동작은 데이터 사전 및 마이그레이션 제약 부록을 기준으로 확인합니다.</w:t>
      </w:r>
    </w:p>
    <w:p>
      <w:pPr>
        <w:spacing w:line="280" w:lineRule="exact" w:after="80"/>
      </w:pPr>
      <w:r>
        <w:t>필드 선언 800개는 스칼라·열거형 선언 580개와 관계 접근자 220개로 구성됩니다. 관계 접근자는 ORM 탐색 속성이며 추가 물리 열이 아닙니다. 관계 CSV 110행에는 실제 fields, references 및 onDelete 선언이 기록됩니다.</w:t>
      </w:r>
    </w:p>
    <w:p>
      <w:pPr>
        <w:pStyle w:val="Heading2"/>
        <w:spacing w:line="340" w:lineRule="exact"/>
      </w:pPr>
      <w:r>
        <w:t>데이터베이스 검토 항목</w:t>
      </w:r>
    </w:p>
    <w:p>
      <w:pPr>
        <w:spacing w:line="280" w:lineRule="exact" w:after="80"/>
      </w:pPr>
      <w:r>
        <w:t>애플리케이션 필드 이름으로 SQL을 작성하기 전에 테이블·열 매핑을 확인합니다. 필드 사전의 null 허용 여부, 기본값 및 고유 제약을 확인하십시오.</w:t>
      </w:r>
    </w:p>
    <w:p>
      <w:pPr>
        <w:spacing w:line="280" w:lineRule="exact" w:after="80"/>
      </w:pPr>
      <w:r>
        <w:t>파괴적 작업에서는 모든 관계 소유 측과 실제 onDelete를 추적합니다. 다이어그램 화살표만으로 보존 정책을 추정하지 마십시오.</w:t>
      </w:r>
    </w:p>
    <w:p>
      <w:pPr>
        <w:spacing w:line="280" w:lineRule="exact" w:after="80"/>
      </w:pPr>
      <w:r>
        <w:t>Prisma와 함께 SQL CHECK 제약 및 부분 인덱스를 검토합니다. 스키마 ERD만으로 모든 영속 불변 조건을 표현할 수는 없습니다.</w:t>
      </w:r>
    </w:p>
    <w:p>
      <w:pPr>
        <w:spacing w:line="280" w:lineRule="exact" w:after="80"/>
      </w:pPr>
      <w:r>
        <w:t>릴리스 데이터베이스의 마이그레이션 상태를 소스 커밋과 대조하십시오. 이번 검토에서는 운영 스키마 직접 조회나 데이터베이스 변경을 수행하지 않았습니다.</w:t>
      </w:r>
    </w:p>
    <w:p>
      <w:pPr>
        <w:spacing w:line="280" w:lineRule="exact" w:after="80"/>
      </w:pPr>
      <w:r>
        <w:br w:type="page"/>
      </w:r>
    </w:p>
    <w:p>
      <w:pPr>
        <w:pStyle w:val="Heading1"/>
        <w:spacing w:line="440" w:lineRule="exact"/>
      </w:pPr>
      <w:r>
        <w:t>데이터 소유권 및 운영 해석</w:t>
      </w:r>
    </w:p>
    <w:p>
      <w:pPr>
        <w:pStyle w:val="Heading2"/>
        <w:spacing w:line="340" w:lineRule="exact"/>
      </w:pPr>
      <w:r>
        <w:t>학원 소유권</w:t>
      </w:r>
    </w:p>
    <w:p>
      <w:pPr>
        <w:spacing w:line="280" w:lineRule="exact" w:after="80"/>
      </w:pPr>
      <w:r>
        <w:t>AcademyMembership은 전역 사용자와 학원을 연결합니다. 커리큘럼 접근은 Course에서 모듈·강의·자료로 이어지며 수강 등록이 학생 맥락을 부여합니다. 유효한 UUID라도 학원·등록 경로 검사를 통과해야 합니다.</w:t>
      </w:r>
    </w:p>
    <w:p>
      <w:pPr>
        <w:pStyle w:val="Heading2"/>
        <w:spacing w:line="340" w:lineRule="exact"/>
      </w:pPr>
      <w:r>
        <w:t>과거 채점</w:t>
      </w:r>
    </w:p>
    <w:p>
      <w:pPr>
        <w:spacing w:line="280" w:lineRule="exact" w:after="80"/>
      </w:pPr>
      <w:r>
        <w:t>Submission과 SubmissionGradingCase는 접수 코드와 채점 리비전을 보존합니다. 현재 문제 편집 내용을 과거 채점 계약으로 취급하면 안 됩니다. 초안·협업 저장은 제출 스냅샷과 별개입니다.</w:t>
      </w:r>
    </w:p>
    <w:p>
      <w:pPr>
        <w:pStyle w:val="Heading2"/>
        <w:spacing w:line="340" w:lineRule="exact"/>
      </w:pPr>
      <w:r>
        <w:t>보상 원장</w:t>
      </w:r>
    </w:p>
    <w:p>
      <w:pPr>
        <w:spacing w:line="280" w:lineRule="exact" w:after="80"/>
      </w:pPr>
      <w:r>
        <w:t>PointAward는 반·현지 날짜 귀속과 무효 메타데이터를 포함한 중복 제거 이벤트를 기록합니다. StudentPointBalance는 파생 잔액입니다. 현재 일일 한도 집계는 멤버십, 반, 현지 날짜 및 무효가 아닌 행을 필터링합니다. 학원만으로 집계하거나 현재 정책을 소스 기본값과 같다고 가정하지 마십시오.</w:t>
      </w:r>
    </w:p>
    <w:p>
      <w:pPr>
        <w:pStyle w:val="Heading2"/>
        <w:spacing w:line="340" w:lineRule="exact"/>
      </w:pPr>
      <w:r>
        <w:t>활동 측정 데이터</w:t>
      </w:r>
    </w:p>
    <w:p>
      <w:pPr>
        <w:spacing w:line="280" w:lineRule="exact" w:after="80"/>
      </w:pPr>
      <w:r>
        <w:t>코드를 제출하지 않아도 학습 작업 공간을 열면 세션·활동 데이터가 생성·갱신될 수 있습니다. 학습일 기록과 활동 플러시는 서버 시계 및 학원 시간대로 해석해야 합니다.</w:t>
      </w:r>
    </w:p>
    <w:p>
      <w:pPr>
        <w:pStyle w:val="Heading2"/>
        <w:spacing w:line="340" w:lineRule="exact"/>
      </w:pPr>
      <w:r>
        <w:t>자격 증명 및 초대</w:t>
      </w:r>
    </w:p>
    <w:p>
      <w:pPr>
        <w:spacing w:line="280" w:lineRule="exact" w:after="80"/>
      </w:pPr>
      <w:r>
        <w:t>플랫폼 발급 학생 자격 증명은 암호화 필드에 저장합니다. 초대 해시와 전달 기록은 목적이 다릅니다. 문서에는 비밀번호, Bearer 토큰, 초대 비밀값 또는 암호화 키를 포함하지 않습니다.</w:t>
      </w:r>
    </w:p>
    <w:p>
      <w:pPr>
        <w:pStyle w:val="Heading2"/>
        <w:spacing w:line="340" w:lineRule="exact"/>
      </w:pPr>
      <w:r>
        <w:t>미확정 운영 정책</w:t>
      </w:r>
    </w:p>
    <w:p>
      <w:pPr>
        <w:spacing w:line="280" w:lineRule="exact" w:after="80"/>
      </w:pPr>
      <w:r>
        <w:t>보존 기간, 복원 목표 및 과거 데이터 삭제 예외는 승인된 요구사항으로 제공되지 않았습니다. 담당자를 지정하고 릴리스 전에 확정하십시오. null 허용 관계나 연쇄 삭제로 정책을 추정하지 마십시오.</w:t>
      </w:r>
    </w:p>
    <w:sectPr w:rsidR="00FC693F" w:rsidRPr="0006063C" w:rsidSect="00034616">
      <w:footerReference w:type="default" r:id="rId9"/>
      <w:head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HeaderChar">
    <w:name w:val="Header Char"/>
    <w:basedOn w:val="DefaultParagraphFont"/>
    <w:link w:val="Header"/>
    <w:uiPriority w:val="99"/>
    <w:rsid w:val="00E618BF"/>
    <w:rPr>
      <w:rFonts w:ascii="Noto Sans CJK KR" w:hAnsi="Noto Sans CJK KR" w:eastAsia="Noto Sans CJK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FooterChar">
    <w:name w:val="Footer Char"/>
    <w:basedOn w:val="DefaultParagraphFont"/>
    <w:link w:val="Footer"/>
    <w:uiPriority w:val="99"/>
    <w:rsid w:val="00E618BF"/>
    <w:rPr>
      <w:rFonts w:ascii="Noto Sans CJK KR" w:hAnsi="Noto Sans CJK KR" w:eastAsia="Noto Sans CJK K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eastAsia="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KR" w:hAnsi="Noto Sans CJK KR" w:eastAsia="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KR" w:hAnsi="Noto Sans CJK KR" w:eastAsia="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KR" w:hAnsi="Noto Sans CJK KR" w:eastAsia="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KR" w:hAnsi="Noto Sans CJK KR" w:eastAsia="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KR" w:hAnsi="Noto Sans CJK KR" w:eastAsia="Noto Sans CJK KR"/>
      <w:i/>
      <w:iCs/>
      <w:color w:val="404040" w:themeColor="text1" w:themeTint="BF"/>
      <w:sz w:val="20"/>
      <w:szCs w:val="20"/>
    </w:rPr>
  </w:style>
  <w:style w:type="character" w:default="1" w:styleId="DefaultParagraphFont">
    <w:name w:val="Default Paragraph Font"/>
    <w:uiPriority w:val="1"/>
    <w:semiHidden/>
    <w:unhideWhenUsed/>
    <w:rPr>
      <w:rFonts w:ascii="Noto Sans CJK KR" w:hAnsi="Noto Sans CJK KR" w:eastAsia="Noto Sans CJK K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eastAsia="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KR" w:hAnsi="Noto Sans CJK KR" w:eastAsia="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KR" w:hAnsi="Noto Sans CJK KR" w:eastAsia="Noto Sans CJK KR"/>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r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rPr>
      <w:rFonts w:ascii="Noto Sans CJK KR" w:hAnsi="Noto Sans CJK KR" w:eastAsia="Noto Sans CJK KR"/>
    </w:rPr>
  </w:style>
  <w:style w:type="paragraph" w:styleId="BodyText2">
    <w:name w:val="Body Text 2"/>
    <w:basedOn w:val="Normal"/>
    <w:link w:val="BodyText2Char"/>
    <w:uiPriority w:val="99"/>
    <w:unhideWhenUsed/>
    <w:rsid w:val="00AA1D8D"/>
    <w:pPr>
      <w:spacing w:after="120" w:line="480" w:lineRule="auto"/>
    </w:pPr>
    <w:rPr>
      <w:rFonts w:ascii="Noto Sans CJK KR" w:hAnsi="Noto Sans CJK KR" w:eastAsia="Noto Sans CJK KR"/>
    </w:rPr>
  </w:style>
  <w:style w:type="character" w:customStyle="1" w:styleId="BodyText2Char">
    <w:name w:val="Body Text 2 Char"/>
    <w:basedOn w:val="DefaultParagraphFont"/>
    <w:link w:val="BodyText2"/>
    <w:uiPriority w:val="99"/>
    <w:rsid w:val="00AA1D8D"/>
    <w:rPr>
      <w:rFonts w:ascii="Noto Sans CJK KR" w:hAnsi="Noto Sans CJK KR" w:eastAsia="Noto Sans CJK KR"/>
    </w:rPr>
  </w:style>
  <w:style w:type="paragraph" w:styleId="BodyText3">
    <w:name w:val="Body Text 3"/>
    <w:basedOn w:val="Normal"/>
    <w:link w:val="BodyText3Char"/>
    <w:uiPriority w:val="99"/>
    <w:unhideWhenUsed/>
    <w:rsid w:val="00AA1D8D"/>
    <w:pPr>
      <w:spacing w:after="120"/>
    </w:pPr>
    <w:rPr>
      <w:rFonts w:ascii="Noto Sans CJK KR" w:hAnsi="Noto Sans CJK KR" w:eastAsia="Noto Sans CJK KR"/>
      <w:sz w:val="16"/>
      <w:szCs w:val="16"/>
    </w:rPr>
  </w:style>
  <w:style w:type="character" w:customStyle="1" w:styleId="BodyText3Char">
    <w:name w:val="Body Text 3 Char"/>
    <w:basedOn w:val="DefaultParagraphFont"/>
    <w:link w:val="BodyText3"/>
    <w:uiPriority w:val="99"/>
    <w:rsid w:val="00AA1D8D"/>
    <w:rPr>
      <w:rFonts w:ascii="Noto Sans CJK KR" w:hAnsi="Noto Sans CJK KR" w:eastAsia="Noto Sans CJK KR"/>
      <w:sz w:val="16"/>
      <w:szCs w:val="16"/>
    </w:rPr>
  </w:style>
  <w:style w:type="paragraph" w:styleId="List">
    <w:name w:val="List"/>
    <w:basedOn w:val="Normal"/>
    <w:uiPriority w:val="99"/>
    <w:unhideWhenUsed/>
    <w:rsid w:val="00AA1D8D"/>
    <w:pPr>
      <w:ind w:left="360" w:hanging="360"/>
      <w:contextualSpacing/>
    </w:pPr>
    <w:rPr>
      <w:rFonts w:ascii="Noto Sans CJK KR" w:hAnsi="Noto Sans CJK KR" w:eastAsia="Noto Sans CJK KR"/>
    </w:rPr>
  </w:style>
  <w:style w:type="paragraph" w:styleId="List2">
    <w:name w:val="List 2"/>
    <w:basedOn w:val="Normal"/>
    <w:uiPriority w:val="99"/>
    <w:unhideWhenUsed/>
    <w:rsid w:val="00326F90"/>
    <w:pPr>
      <w:ind w:left="720" w:hanging="360"/>
      <w:contextualSpacing/>
    </w:pPr>
    <w:rPr>
      <w:rFonts w:ascii="Noto Sans CJK KR" w:hAnsi="Noto Sans CJK KR" w:eastAsia="Noto Sans CJK KR"/>
    </w:rPr>
  </w:style>
  <w:style w:type="paragraph" w:styleId="List3">
    <w:name w:val="List 3"/>
    <w:basedOn w:val="Normal"/>
    <w:uiPriority w:val="99"/>
    <w:unhideWhenUsed/>
    <w:rsid w:val="00326F90"/>
    <w:pPr>
      <w:ind w:left="1080" w:hanging="360"/>
      <w:contextualSpacing/>
    </w:pPr>
    <w:rPr>
      <w:rFonts w:ascii="Noto Sans CJK KR" w:hAnsi="Noto Sans CJK KR" w:eastAsia="Noto Sans CJK KR"/>
    </w:r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rPr>
      <w:rFonts w:ascii="Noto Sans CJK KR" w:hAnsi="Noto Sans CJK KR" w:eastAsia="Noto Sans CJK KR"/>
    </w:r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rPr>
  </w:style>
  <w:style w:type="paragraph" w:styleId="ListNumber3">
    <w:name w:val="List Number 3"/>
    <w:basedOn w:val="Normal"/>
    <w:uiPriority w:val="99"/>
    <w:unhideWhenUsed/>
    <w:rsid w:val="0029639D"/>
    <w:pPr>
      <w:numPr>
        <w:numId w:val="7"/>
      </w:numPr>
      <w:contextualSpacing/>
    </w:pPr>
    <w:rPr>
      <w:rFonts w:ascii="Noto Sans CJK KR" w:hAnsi="Noto Sans CJK KR" w:eastAsia="Noto Sans CJK KR"/>
    </w:rPr>
  </w:style>
  <w:style w:type="paragraph" w:styleId="ListContinue">
    <w:name w:val="List Continue"/>
    <w:basedOn w:val="Normal"/>
    <w:uiPriority w:val="99"/>
    <w:unhideWhenUsed/>
    <w:rsid w:val="0029639D"/>
    <w:pPr>
      <w:spacing w:after="120"/>
      <w:ind w:left="360"/>
      <w:contextualSpacing/>
    </w:pPr>
    <w:rPr>
      <w:rFonts w:ascii="Noto Sans CJK KR" w:hAnsi="Noto Sans CJK KR" w:eastAsia="Noto Sans CJK KR"/>
    </w:rPr>
  </w:style>
  <w:style w:type="paragraph" w:styleId="ListContinue2">
    <w:name w:val="List Continue 2"/>
    <w:basedOn w:val="Normal"/>
    <w:uiPriority w:val="99"/>
    <w:unhideWhenUsed/>
    <w:rsid w:val="0029639D"/>
    <w:pPr>
      <w:spacing w:after="120"/>
      <w:ind w:left="720"/>
      <w:contextualSpacing/>
    </w:pPr>
    <w:rPr>
      <w:rFonts w:ascii="Noto Sans CJK KR" w:hAnsi="Noto Sans CJK KR" w:eastAsia="Noto Sans CJK KR"/>
    </w:rPr>
  </w:style>
  <w:style w:type="paragraph" w:styleId="ListContinue3">
    <w:name w:val="List Continue 3"/>
    <w:basedOn w:val="Normal"/>
    <w:uiPriority w:val="99"/>
    <w:unhideWhenUsed/>
    <w:rsid w:val="0029639D"/>
    <w:pPr>
      <w:spacing w:after="120"/>
      <w:ind w:left="1080"/>
      <w:contextualSpacing/>
    </w:pPr>
    <w:rPr>
      <w:rFonts w:ascii="Noto Sans CJK KR" w:hAnsi="Noto Sans CJK KR" w:eastAsia="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eastAsia="Noto Sans CJK KR"/>
      <w:sz w:val="20"/>
      <w:szCs w:val="20"/>
    </w:rPr>
  </w:style>
  <w:style w:type="paragraph" w:styleId="Quote">
    <w:name w:val="Quote"/>
    <w:basedOn w:val="Normal"/>
    <w:next w:val="Normal"/>
    <w:link w:val="QuoteChar"/>
    <w:uiPriority w:val="29"/>
    <w:qFormat/>
    <w:rsid w:val="00FC693F"/>
    <w:rPr>
      <w:rFonts w:ascii="Noto Sans CJK KR" w:hAnsi="Noto Sans CJK KR" w:eastAsia="Noto Sans CJK KR"/>
      <w:i/>
      <w:iCs/>
      <w:color w:val="000000" w:themeColor="text1"/>
    </w:rPr>
  </w:style>
  <w:style w:type="character" w:customStyle="1" w:styleId="QuoteChar">
    <w:name w:val="Quote Char"/>
    <w:basedOn w:val="DefaultParagraphFont"/>
    <w:link w:val="Quote"/>
    <w:uiPriority w:val="29"/>
    <w:rsid w:val="00FC693F"/>
    <w:rPr>
      <w:rFonts w:ascii="Noto Sans CJK KR" w:hAnsi="Noto Sans CJK KR" w:eastAsia="Noto Sans CJK K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KR" w:hAnsi="Noto Sans CJK KR" w:eastAsia="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KR" w:hAnsi="Noto Sans CJK KR" w:eastAsia="Noto Sans CJK K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KR" w:hAnsi="Noto Sans CJK KR" w:eastAsia="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KR" w:hAnsi="Noto Sans CJK KR" w:eastAsia="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KR" w:hAnsi="Noto Sans CJK KR" w:eastAsia="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KR" w:hAnsi="Noto Sans CJK KR" w:eastAsia="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rFonts w:ascii="Noto Sans CJK KR" w:hAnsi="Noto Sans CJK KR" w:eastAsia="Noto Sans CJK KR"/>
      <w:b/>
      <w:bCs/>
    </w:rPr>
  </w:style>
  <w:style w:type="character" w:styleId="Emphasis">
    <w:name w:val="Emphasis"/>
    <w:basedOn w:val="DefaultParagraphFont"/>
    <w:uiPriority w:val="20"/>
    <w:qFormat/>
    <w:rsid w:val="00FC693F"/>
    <w:rPr>
      <w:rFonts w:ascii="Noto Sans CJK KR" w:hAnsi="Noto Sans CJK KR" w:eastAsia="Noto Sans CJK K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KR" w:hAnsi="Noto Sans CJK KR" w:eastAsia="Noto Sans CJK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KR" w:hAnsi="Noto Sans CJK KR" w:eastAsia="Noto Sans CJK KR"/>
      <w:b/>
      <w:bCs/>
      <w:i/>
      <w:iCs/>
      <w:color w:val="4F81BD" w:themeColor="accent1"/>
    </w:rPr>
  </w:style>
  <w:style w:type="character" w:styleId="SubtleEmphasis">
    <w:name w:val="Subtle Emphasis"/>
    <w:basedOn w:val="DefaultParagraphFont"/>
    <w:uiPriority w:val="19"/>
    <w:qFormat/>
    <w:rsid w:val="00FC693F"/>
    <w:rPr>
      <w:rFonts w:ascii="Noto Sans CJK KR" w:hAnsi="Noto Sans CJK KR" w:eastAsia="Noto Sans CJK KR"/>
      <w:i/>
      <w:iCs/>
      <w:color w:val="808080" w:themeColor="text1" w:themeTint="7F"/>
    </w:rPr>
  </w:style>
  <w:style w:type="character" w:styleId="IntenseEmphasis">
    <w:name w:val="Intense Emphasis"/>
    <w:basedOn w:val="DefaultParagraphFont"/>
    <w:uiPriority w:val="21"/>
    <w:qFormat/>
    <w:rsid w:val="00FC693F"/>
    <w:rPr>
      <w:rFonts w:ascii="Noto Sans CJK KR" w:hAnsi="Noto Sans CJK KR" w:eastAsia="Noto Sans CJK KR"/>
      <w:b/>
      <w:bCs/>
      <w:i/>
      <w:iCs/>
      <w:color w:val="4F81BD" w:themeColor="accent1"/>
    </w:rPr>
  </w:style>
  <w:style w:type="character" w:styleId="SubtleReference">
    <w:name w:val="Subtle Reference"/>
    <w:basedOn w:val="DefaultParagraphFont"/>
    <w:uiPriority w:val="31"/>
    <w:qFormat/>
    <w:rsid w:val="00FC693F"/>
    <w:rPr>
      <w:rFonts w:ascii="Noto Sans CJK KR" w:hAnsi="Noto Sans CJK KR" w:eastAsia="Noto Sans CJK KR"/>
      <w:smallCaps/>
      <w:color w:val="C0504D" w:themeColor="accent2"/>
      <w:u w:val="single"/>
    </w:rPr>
  </w:style>
  <w:style w:type="character" w:styleId="IntenseReference">
    <w:name w:val="Intense Reference"/>
    <w:basedOn w:val="DefaultParagraphFont"/>
    <w:uiPriority w:val="32"/>
    <w:qFormat/>
    <w:rsid w:val="00FC693F"/>
    <w:rPr>
      <w:rFonts w:ascii="Noto Sans CJK KR" w:hAnsi="Noto Sans CJK KR" w:eastAsia="Noto Sans CJK KR"/>
      <w:b/>
      <w:bCs/>
      <w:smallCaps/>
      <w:color w:val="C0504D" w:themeColor="accent2"/>
      <w:spacing w:val="5"/>
      <w:u w:val="single"/>
    </w:rPr>
  </w:style>
  <w:style w:type="character" w:styleId="BookTitle">
    <w:name w:val="Book Title"/>
    <w:basedOn w:val="DefaultParagraphFont"/>
    <w:uiPriority w:val="33"/>
    <w:qFormat/>
    <w:rsid w:val="00FC693F"/>
    <w:rPr>
      <w:rFonts w:ascii="Noto Sans CJK KR" w:hAnsi="Noto Sans CJK KR" w:eastAsia="Noto Sans CJK K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KR" w:hAnsi="Noto Sans CJK KR" w:eastAsia="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 Studio v2 Database Specification</dc:title>
  <dc:subject>Cove Studio v2 platform documentation</dc:subject>
  <dc:creator>John</dc:creator>
  <cp:keywords/>
  <dc:description>generated by python-docx</dc:description>
  <cp:lastModifiedBy/>
  <cp:revision>1</cp:revision>
  <dcterms:created xsi:type="dcterms:W3CDTF">2013-12-23T23:15:00Z</dcterms:created>
  <dcterms:modified xsi:type="dcterms:W3CDTF">2013-12-23T23:15:00Z</dcterms:modified>
  <cp:category/>
</cp:coreProperties>
</file>