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template.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0F25A" w14:textId="77777777" w:rsidR="009704C2" w:rsidRPr="009704C2" w:rsidRDefault="009704C2" w:rsidP="00622E9A">
      <w:pPr>
        <w:pStyle w:val="Cover-header"/>
      </w:pPr>
      <w:r w:rsidRPr="009704C2">
        <w:t>Cover-Header</w:t>
      </w:r>
    </w:p>
    <w:p w14:paraId="6F91BBF5" w14:textId="77777777" w:rsidR="009704C2" w:rsidRDefault="009704C2" w:rsidP="00622E9A">
      <w:pPr>
        <w:pStyle w:val="Cover-Subheader"/>
      </w:pPr>
      <w:r w:rsidRPr="009704C2">
        <w:t>Cover-</w:t>
      </w:r>
      <w:proofErr w:type="spellStart"/>
      <w:r w:rsidRPr="009704C2">
        <w:t>Subheader</w:t>
      </w:r>
      <w:proofErr w:type="spellEnd"/>
    </w:p>
    <w:p w14:paraId="73125472" w14:textId="61EA2B73" w:rsidR="00774CBB" w:rsidRPr="009704C2" w:rsidRDefault="00774CBB" w:rsidP="009704C2">
      <w:pPr>
        <w:spacing w:before="240"/>
        <w:jc w:val="center"/>
        <w:rPr>
          <w:sz w:val="56"/>
          <w:szCs w:val="56"/>
          <w:lang w:val="en-US"/>
        </w:rPr>
        <w:sectPr w:rsidR="00774CBB" w:rsidRPr="009704C2" w:rsidSect="003C1FDD">
          <w:headerReference w:type="default" r:id="rId11"/>
          <w:footerReference w:type="default" r:id="rId12"/>
          <w:headerReference w:type="first" r:id="rId13"/>
          <w:footerReference w:type="first" r:id="rId14"/>
          <w:pgSz w:w="12240" w:h="15840" w:code="1"/>
          <w:pgMar w:top="1728" w:right="1253" w:bottom="1296" w:left="1253" w:header="1728" w:footer="706" w:gutter="0"/>
          <w:cols w:space="708"/>
          <w:titlePg/>
          <w:docGrid w:linePitch="360"/>
        </w:sectPr>
      </w:pPr>
    </w:p>
    <w:p>
      <w:pPr>
        <w:pStyle w:val="Heading1"/>
      </w:pPr>
      <w:r>
        <w:t>Status Changes</w:t>
      </w:r>
    </w:p>
    <w:tbl>
      <w:tblPr>
        <w:tblStyle w:val="TableGrid"/>
        <w:tblW w:w="8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034"/>
        <w:gridCol w:w="2400"/>
        <w:gridCol w:w="2400"/>
      </w:tblGrid>
      <w:tr>
        <w:tc>
          <w:tcPr>
            <w:tcW w:w="900" w:type="dxa"/>
          </w:tcPr>
          <w:p>
            <w:pPr>
              <w:pStyle w:val="TableHeader"/>
              <w:rPr>
                <w:b/>
              </w:rPr>
            </w:pPr>
            <w:r>
              <w:rPr>
                <w:b/>
              </w:rPr>
              <w:t xml:space="preserve">Ref</w:t>
            </w:r>
          </w:p>
        </w:tc>
        <w:tc>
          <w:tcPr>
            <w:tcW w:w="3034" w:type="dxa"/>
          </w:tcPr>
          <w:p>
            <w:pPr>
              <w:pStyle w:val="TableHeader"/>
              <w:rPr>
                <w:b/>
              </w:rPr>
            </w:pPr>
            <w:r>
              <w:rPr>
                <w:b/>
              </w:rPr>
              <w:t xml:space="preserve">Requirement</w:t>
            </w:r>
          </w:p>
        </w:tc>
        <w:tc>
          <w:tcPr>
            <w:tcW w:w="2400" w:type="dxa"/>
          </w:tcPr>
          <w:p>
            <w:pPr>
              <w:pStyle w:val="TableHeader"/>
              <w:rPr>
                <w:b/>
              </w:rPr>
            </w:pPr>
            <w:r>
              <w:rPr>
                <w:b/>
              </w:rPr>
              <w:t xml:space="preserve">Before</w:t>
            </w:r>
          </w:p>
        </w:tc>
        <w:tc>
          <w:tcPr>
            <w:tcW w:w="2400" w:type="dxa"/>
          </w:tcPr>
          <w:p>
            <w:pPr>
              <w:pStyle w:val="TableHeader"/>
              <w:rPr>
                <w:b/>
              </w:rPr>
            </w:pPr>
            <w:r>
              <w:rPr>
                <w:b/>
              </w:rPr>
              <w:t xml:space="preserve">After</w:t>
            </w:r>
          </w:p>
        </w:tc>
      </w:tr>
      <w:tr>
        <w:tc>
          <w:tcPr>
            <w:tcW w:w="900" w:type="dxa"/>
          </w:tcPr>
          <w:p>
            <w:pPr>
              <w:pStyle w:val="Normal"/>
            </w:pPr>
            <w:r>
              <w:t xml:space="preserve">C.1</w:t>
            </w:r>
          </w:p>
        </w:tc>
        <w:tc>
          <w:tcPr>
            <w:tcW w:w="3034" w:type="dxa"/>
          </w:tcPr>
          <w:p>
            <w:pPr>
              <w:pStyle w:val="Normal"/>
            </w:pPr>
            <w:r>
              <w:t xml:space="preserve">Screen reader compatibility</w:t>
            </w:r>
          </w:p>
        </w:tc>
        <w:tc>
          <w:tcPr>
            <w:tcW w:w="2400" w:type="dxa"/>
          </w:tcPr>
          <w:p>
            <w:pPr>
              <w:pStyle w:val="Normal"/>
            </w:pPr>
            <w:r>
              <w:t xml:space="preserve">CANNOT ASSESS</w:t>
            </w:r>
          </w:p>
        </w:tc>
        <w:tc>
          <w:tcPr>
            <w:tcW w:w="2400" w:type="dxa"/>
          </w:tcPr>
          <w:p>
            <w:pPr>
              <w:pStyle w:val="Normal"/>
            </w:pPr>
            <w:r>
              <w:t xml:space="preserve">PARTIALLY MET</w:t>
            </w:r>
          </w:p>
        </w:tc>
      </w:tr>
      <w:tr>
        <w:tc>
          <w:tcPr>
            <w:tcW w:w="900" w:type="dxa"/>
          </w:tcPr>
          <w:p>
            <w:pPr>
              <w:pStyle w:val="Normal"/>
            </w:pPr>
            <w:r>
              <w:t xml:space="preserve">C.2</w:t>
            </w:r>
          </w:p>
        </w:tc>
        <w:tc>
          <w:tcPr>
            <w:tcW w:w="3034" w:type="dxa"/>
          </w:tcPr>
          <w:p>
            <w:pPr>
              <w:pStyle w:val="Normal"/>
            </w:pPr>
            <w:r>
              <w:t xml:space="preserve">Multi-sensory UI feedback</w:t>
            </w:r>
          </w:p>
        </w:tc>
        <w:tc>
          <w:tcPr>
            <w:tcW w:w="2400" w:type="dxa"/>
          </w:tcPr>
          <w:p>
            <w:pPr>
              <w:pStyle w:val="Normal"/>
            </w:pPr>
            <w:r>
              <w:t xml:space="preserve">LIKELY GAP</w:t>
            </w:r>
          </w:p>
        </w:tc>
        <w:tc>
          <w:tcPr>
            <w:tcW w:w="2400" w:type="dxa"/>
          </w:tcPr>
          <w:p>
            <w:pPr>
              <w:pStyle w:val="Normal"/>
            </w:pPr>
            <w:r>
              <w:t xml:space="preserve">PARTIALLY MET</w:t>
            </w:r>
          </w:p>
        </w:tc>
      </w:tr>
      <w:tr>
        <w:tc>
          <w:tcPr>
            <w:tcW w:w="900" w:type="dxa"/>
          </w:tcPr>
          <w:p>
            <w:pPr>
              <w:pStyle w:val="Normal"/>
            </w:pPr>
            <w:r>
              <w:t xml:space="preserve">C.3</w:t>
            </w:r>
          </w:p>
        </w:tc>
        <w:tc>
          <w:tcPr>
            <w:tcW w:w="3034" w:type="dxa"/>
          </w:tcPr>
          <w:p>
            <w:pPr>
              <w:pStyle w:val="Normal"/>
            </w:pPr>
            <w:r>
              <w:t xml:space="preserve">Keyboard-only operation</w:t>
            </w:r>
          </w:p>
        </w:tc>
        <w:tc>
          <w:tcPr>
            <w:tcW w:w="2400" w:type="dxa"/>
          </w:tcPr>
          <w:p>
            <w:pPr>
              <w:pStyle w:val="Normal"/>
            </w:pPr>
            <w:r>
              <w:t xml:space="preserve">LIKELY MET</w:t>
            </w:r>
          </w:p>
        </w:tc>
        <w:tc>
          <w:tcPr>
            <w:tcW w:w="2400" w:type="dxa"/>
          </w:tcPr>
          <w:p>
            <w:pPr>
              <w:pStyle w:val="Normal"/>
            </w:pPr>
            <w:r>
              <w:t xml:space="preserve">LIKELY MET (confirmed)</w:t>
            </w:r>
          </w:p>
        </w:tc>
      </w:tr>
      <w:tr>
        <w:tc>
          <w:tcPr>
            <w:tcW w:w="900" w:type="dxa"/>
          </w:tcPr>
          <w:p>
            <w:pPr>
              <w:pStyle w:val="Normal"/>
            </w:pPr>
            <w:r>
              <w:t xml:space="preserve">C.4</w:t>
            </w:r>
          </w:p>
        </w:tc>
        <w:tc>
          <w:tcPr>
            <w:tcW w:w="3034" w:type="dxa"/>
          </w:tcPr>
          <w:p>
            <w:pPr>
              <w:pStyle w:val="Normal"/>
            </w:pPr>
            <w:r>
              <w:t xml:space="preserve">WCAG contrast and magnification</w:t>
            </w:r>
          </w:p>
        </w:tc>
        <w:tc>
          <w:tcPr>
            <w:tcW w:w="2400" w:type="dxa"/>
          </w:tcPr>
          <w:p>
            <w:pPr>
              <w:pStyle w:val="Normal"/>
            </w:pPr>
            <w:r>
              <w:t xml:space="preserve">CANNOT ASSESS</w:t>
            </w:r>
          </w:p>
        </w:tc>
        <w:tc>
          <w:tcPr>
            <w:tcW w:w="2400" w:type="dxa"/>
          </w:tcPr>
          <w:p>
            <w:pPr>
              <w:pStyle w:val="Normal"/>
            </w:pPr>
            <w:r>
              <w:t xml:space="preserve">PARTIALLY MET</w:t>
            </w:r>
          </w:p>
        </w:tc>
      </w:tr>
      <w:tr>
        <w:tc>
          <w:tcPr>
            <w:tcW w:w="900" w:type="dxa"/>
          </w:tcPr>
          <w:p>
            <w:pPr>
              <w:pStyle w:val="Normal"/>
            </w:pPr>
            <w:r>
              <w:t xml:space="preserve">C.5</w:t>
            </w:r>
          </w:p>
        </w:tc>
        <w:tc>
          <w:tcPr>
            <w:tcW w:w="3034" w:type="dxa"/>
          </w:tcPr>
          <w:p>
            <w:pPr>
              <w:pStyle w:val="Normal"/>
            </w:pPr>
            <w:r>
              <w:t xml:space="preserve">Non-color UI indicators</w:t>
            </w:r>
          </w:p>
        </w:tc>
        <w:tc>
          <w:tcPr>
            <w:tcW w:w="2400" w:type="dxa"/>
          </w:tcPr>
          <w:p>
            <w:pPr>
              <w:pStyle w:val="Normal"/>
            </w:pPr>
            <w:r>
              <w:t xml:space="preserve">LIKELY GAP</w:t>
            </w:r>
          </w:p>
        </w:tc>
        <w:tc>
          <w:tcPr>
            <w:tcW w:w="2400" w:type="dxa"/>
          </w:tcPr>
          <w:p>
            <w:pPr>
              <w:pStyle w:val="Normal"/>
            </w:pPr>
            <w:r>
              <w:t xml:space="preserve">PARTIALLY MET (extended)</w:t>
            </w:r>
          </w:p>
        </w:tc>
      </w:tr>
      <w:tr>
        <w:tc>
          <w:tcPr>
            <w:tcW w:w="900" w:type="dxa"/>
          </w:tcPr>
          <w:p>
            <w:pPr>
              <w:pStyle w:val="Normal"/>
            </w:pPr>
            <w:r>
              <w:t xml:space="preserve">C.7</w:t>
            </w:r>
          </w:p>
        </w:tc>
        <w:tc>
          <w:tcPr>
            <w:tcW w:w="3034" w:type="dxa"/>
          </w:tcPr>
          <w:p>
            <w:pPr>
              <w:pStyle w:val="Normal"/>
            </w:pPr>
            <w:r>
              <w:t xml:space="preserve">Visual clarity / High Contrast</w:t>
            </w:r>
          </w:p>
        </w:tc>
        <w:tc>
          <w:tcPr>
            <w:tcW w:w="2400" w:type="dxa"/>
          </w:tcPr>
          <w:p>
            <w:pPr>
              <w:pStyle w:val="Normal"/>
            </w:pPr>
            <w:r>
              <w:t xml:space="preserve">PARTIALLY MET</w:t>
            </w:r>
          </w:p>
        </w:tc>
        <w:tc>
          <w:tcPr>
            <w:tcW w:w="2400" w:type="dxa"/>
          </w:tcPr>
          <w:p>
            <w:pPr>
              <w:pStyle w:val="Normal"/>
            </w:pPr>
            <w:r>
              <w:t xml:space="preserve">PARTIALLY MET (extended)</w:t>
            </w:r>
          </w:p>
        </w:tc>
      </w:tr>
      <w:tr>
        <w:tc>
          <w:tcPr>
            <w:tcW w:w="900" w:type="dxa"/>
          </w:tcPr>
          <w:p>
            <w:pPr>
              <w:pStyle w:val="Normal"/>
            </w:pPr>
            <w:r>
              <w:t xml:space="preserve">C.14</w:t>
            </w:r>
          </w:p>
        </w:tc>
        <w:tc>
          <w:tcPr>
            <w:tcW w:w="3034" w:type="dxa"/>
          </w:tcPr>
          <w:p>
            <w:pPr>
              <w:pStyle w:val="Normal"/>
            </w:pPr>
            <w:r>
              <w:t xml:space="preserve">Assistive technology APIs</w:t>
            </w:r>
          </w:p>
        </w:tc>
        <w:tc>
          <w:tcPr>
            <w:tcW w:w="2400" w:type="dxa"/>
          </w:tcPr>
          <w:p>
            <w:pPr>
              <w:pStyle w:val="Normal"/>
            </w:pPr>
            <w:r>
              <w:t xml:space="preserve">CANNOT ASSESS</w:t>
            </w:r>
          </w:p>
        </w:tc>
        <w:tc>
          <w:tcPr>
            <w:tcW w:w="2400" w:type="dxa"/>
          </w:tcPr>
          <w:p>
            <w:pPr>
              <w:pStyle w:val="Normal"/>
            </w:pPr>
            <w:r>
              <w:t xml:space="preserve">PARTIALLY MET</w:t>
            </w:r>
          </w:p>
        </w:tc>
      </w:tr>
    </w:tbl>
    <w:p>
      <w:pPr>
        <w:pStyle w:val="Normal"/>
      </w:pPr>
    </w:p>
    <w:p>
      <w:pPr>
        <w:pStyle w:val="Heading1"/>
      </w:pPr>
      <w:r>
        <w:t>What Was Implemented</w:t>
      </w:r>
    </w:p>
    <w:p>
      <w:pPr>
        <w:pStyle w:val="Heading2"/>
      </w:pPr>
      <w:r>
        <w:t>ARIA and Screen Reader Support (C.1, C.14)</w:t>
      </w:r>
    </w:p>
    <w:p>
      <w:pPr>
        <w:pStyle w:val="ListParagraph"/>
        <w:numPr>
          <w:ilvl w:val="0"/>
          <w:numId w:val="1"/>
        </w:numPr>
      </w:pPr>
      <w:r>
        <w:t xml:space="preserve">role=button + aria-label on all interactive SVG port shapes</w:t>
      </w:r>
    </w:p>
    <w:p>
      <w:pPr>
        <w:pStyle w:val="ListParagraph"/>
        <w:numPr>
          <w:ilvl w:val="0"/>
          <w:numId w:val="1"/>
        </w:numPr>
      </w:pPr>
      <w:r>
        <w:t xml:space="preserve">role=listitem on detail cards; role=tooltip on tooltip element</w:t>
      </w:r>
    </w:p>
    <w:p>
      <w:pPr>
        <w:pStyle w:val="ListParagraph"/>
        <w:numPr>
          <w:ilvl w:val="0"/>
          <w:numId w:val="1"/>
        </w:numPr>
      </w:pPr>
      <w:r>
        <w:t xml:space="preserve">role=log + aria-live=polite + aria-relevant=additions on event log</w:t>
      </w:r>
    </w:p>
    <w:p>
      <w:pPr>
        <w:pStyle w:val="ListParagraph"/>
        <w:numPr>
          <w:ilvl w:val="0"/>
          <w:numId w:val="1"/>
        </w:numPr>
      </w:pPr>
      <w:r>
        <w:t xml:space="preserve">aria-describedby set/cleared on tooltip show/hide</w:t>
      </w:r>
    </w:p>
    <w:p>
      <w:pPr>
        <w:pStyle w:val="ListParagraph"/>
        <w:numPr>
          <w:ilvl w:val="0"/>
          <w:numId w:val="1"/>
        </w:numPr>
      </w:pPr>
      <w:r>
        <w:t xml:space="preserve">Canvas gauge aria-label updated with live value on every redraw</w:t>
      </w:r>
    </w:p>
    <w:p>
      <w:pPr>
        <w:pStyle w:val="ListParagraph"/>
        <w:numPr>
          <w:ilvl w:val="0"/>
          <w:numId w:val="1"/>
        </w:numPr>
      </w:pPr>
      <w:r>
        <w:t xml:space="preserve">.sr-only spans inside color-only dot indicators ("Online" / "Offline")</w:t>
      </w:r>
    </w:p>
    <w:p>
      <w:pPr>
        <w:pStyle w:val="Heading2"/>
      </w:pPr>
      <w:r>
        <w:t>Full Dashboard ARIA Audit (C.1, C.14)</w:t>
      </w:r>
    </w:p>
    <w:p>
      <w:pPr>
        <w:pStyle w:val="Normal"/>
      </w:pPr>
      <w:r>
        <w:t xml:space="preserve">A second pass extended ARIA coverage from Port Status to every remaining dashboard card:</w:t>
      </w:r>
    </w:p>
    <w:p>
      <w:pPr>
        <w:pStyle w:val="ListParagraph"/>
        <w:numPr>
          <w:ilvl w:val="0"/>
          <w:numId w:val="1"/>
        </w:numPr>
      </w:pPr>
      <w:r>
        <w:t xml:space="preserve">Alarms: severity dot aria-hidden; alarm row role=listitem + aria-label (severity + name); dismiss button aria-label</w:t>
      </w:r>
    </w:p>
    <w:p>
      <w:pPr>
        <w:pStyle w:val="ListParagraph"/>
        <w:numPr>
          <w:ilvl w:val="0"/>
          <w:numId w:val="1"/>
        </w:numPr>
      </w:pPr>
      <w:r>
        <w:t xml:space="preserve">Events: event row role=listitem + aria-label; priority bar aria-hidden + .sr-only severity text; count badges labeled; acknowledge button aria-label; events list aria-live=polite</w:t>
      </w:r>
    </w:p>
    <w:p>
      <w:pPr>
        <w:pStyle w:val="ListParagraph"/>
        <w:numPr>
          <w:ilvl w:val="0"/>
          <w:numId w:val="1"/>
        </w:numPr>
      </w:pPr>
      <w:r>
        <w:t xml:space="preserve">Top Flows / Top Hosts: each row role=listitem + aria-label (full plaintext summary); decorative cell content aria-hidden</w:t>
      </w:r>
    </w:p>
    <w:p>
      <w:pPr>
        <w:pStyle w:val="ListParagraph"/>
        <w:numPr>
          <w:ilvl w:val="0"/>
          <w:numId w:val="1"/>
        </w:numPr>
      </w:pPr>
      <w:r>
        <w:t xml:space="preserve">MWAN: WAN and WWAN panels role=region with aria-label; state dot aria-hidden; latency and loss chips labeled; MWAN event rows role=listitem + aria-label; FA icons aria-hidden; usage bar role=img + aria-label</w:t>
      </w:r>
    </w:p>
    <w:p>
      <w:pPr>
        <w:pStyle w:val="ListParagraph"/>
        <w:numPr>
          <w:ilvl w:val="0"/>
          <w:numId w:val="1"/>
        </w:numPr>
      </w:pPr>
      <w:r>
        <w:t xml:space="preserve">QoE pills: tabindex=0, role=img, aria-label (metric + value + rating); focus triggers showTooltipNearEl keyboard-accessible tooltip</w:t>
      </w:r>
    </w:p>
    <w:p>
      <w:pPr>
        <w:pStyle w:val="ListParagraph"/>
        <w:numPr>
          <w:ilvl w:val="0"/>
          <w:numId w:val="1"/>
        </w:numPr>
      </w:pPr>
      <w:r>
        <w:t xml:space="preserve">Airtime bars: tabindex=0, role=img, aria-label (band + per-client breakdown); focus triggers showTooltipNearEl</w:t>
      </w:r>
    </w:p>
    <w:p>
      <w:pPr>
        <w:pStyle w:val="ListParagraph"/>
        <w:numPr>
          <w:ilvl w:val="0"/>
          <w:numId w:val="1"/>
        </w:numPr>
      </w:pPr>
      <w:r>
        <w:t xml:space="preserve">Throughput chart: live canvas aria-label updated with current DL/UL values on every redraw</w:t>
      </w:r>
    </w:p>
    <w:p>
      <w:pPr>
        <w:pStyle w:val="ListParagraph"/>
        <w:numPr>
          <w:ilvl w:val="0"/>
          <w:numId w:val="1"/>
        </w:numPr>
      </w:pPr>
      <w:r>
        <w:t xml:space="preserve">Flow sparklines: SVG aria-hidden=true focusable=false (decorative)</w:t>
      </w:r>
    </w:p>
    <w:p>
      <w:pPr>
        <w:pStyle w:val="Heading2"/>
      </w:pPr>
      <w:r>
        <w:t>Keyboard Navigation (C.3)</w:t>
      </w:r>
    </w:p>
    <w:p>
      <w:pPr>
        <w:pStyle w:val="ListParagraph"/>
        <w:numPr>
          <w:ilvl w:val="0"/>
          <w:numId w:val="1"/>
        </w:numPr>
      </w:pPr>
      <w:r>
        <w:t xml:space="preserve">tabindex=0 on all SVG port groups and detail cards</w:t>
      </w:r>
    </w:p>
    <w:p>
      <w:pPr>
        <w:pStyle w:val="ListParagraph"/>
        <w:numPr>
          <w:ilvl w:val="0"/>
          <w:numId w:val="1"/>
        </w:numPr>
      </w:pPr>
      <w:r>
        <w:t xml:space="preserve">Focus order matches visual reading order</w:t>
      </w:r>
    </w:p>
    <w:p>
      <w:pPr>
        <w:pStyle w:val="ListParagraph"/>
        <w:numPr>
          <w:ilvl w:val="0"/>
          <w:numId w:val="1"/>
        </w:numPr>
      </w:pPr>
      <w:r>
        <w:t xml:space="preserve">All Port Status interactions reachable by Tab key alone</w:t>
      </w:r>
    </w:p>
    <w:p>
      <w:pPr>
        <w:pStyle w:val="Heading2"/>
      </w:pPr>
      <w:r>
        <w:t>Focus Visibility (WCAG 2.4.7 / 2.4.11)</w:t>
      </w:r>
    </w:p>
    <w:p>
      <w:pPr>
        <w:pStyle w:val="ListParagraph"/>
        <w:numPr>
          <w:ilvl w:val="0"/>
          <w:numId w:val="1"/>
        </w:numPr>
      </w:pPr>
      <w:r>
        <w:t xml:space="preserve">:focus-visible with outline + box-shadow glow on focusable cards and buttons</w:t>
      </w:r>
    </w:p>
    <w:p>
      <w:pPr>
        <w:pStyle w:val="ListParagraph"/>
        <w:numPr>
          <w:ilvl w:val="0"/>
          <w:numId w:val="1"/>
        </w:numPr>
      </w:pPr>
      <w:r>
        <w:t xml:space="preserve">SVG port shapes: filter: drop-shadow on focus</w:t>
      </w:r>
    </w:p>
    <w:p>
      <w:pPr>
        <w:pStyle w:val="ListParagraph"/>
        <w:numPr>
          <w:ilvl w:val="0"/>
          <w:numId w:val="1"/>
        </w:numPr>
      </w:pPr>
      <w:r>
        <w:t xml:space="preserve">Glowing frame visible in both dark and light themes</w:t>
      </w:r>
    </w:p>
    <w:p>
      <w:pPr>
        <w:pStyle w:val="Heading2"/>
      </w:pPr>
      <w:r>
        <w:t>Non-Color Indicators (C.5)</w:t>
      </w:r>
    </w:p>
    <w:p>
      <w:pPr>
        <w:pStyle w:val="ListParagraph"/>
        <w:numPr>
          <w:ilvl w:val="0"/>
          <w:numId w:val="1"/>
        </w:numPr>
      </w:pPr>
      <w:r>
        <w:t xml:space="preserve">State dots: filled circle (up) vs hollow ring (down) -- shape differs independently of color</w:t>
      </w:r>
    </w:p>
    <w:p>
      <w:pPr>
        <w:pStyle w:val="ListParagraph"/>
        <w:numPr>
          <w:ilvl w:val="0"/>
          <w:numId w:val="1"/>
        </w:numPr>
      </w:pPr>
      <w:r>
        <w:t xml:space="preserve">Event log dots: same filled/hollow pattern</w:t>
      </w:r>
    </w:p>
    <w:p>
      <w:pPr>
        <w:pStyle w:val="ListParagraph"/>
        <w:numPr>
          <w:ilvl w:val="0"/>
          <w:numId w:val="1"/>
        </w:numPr>
      </w:pPr>
      <w:r>
        <w:t xml:space="preserve">Badge and tooltip text labels carry full meaning without color</w:t>
      </w:r>
    </w:p>
    <w:p>
      <w:pPr>
        <w:pStyle w:val="Heading2"/>
      </w:pPr>
      <w:r>
        <w:t>Hardware LED State Mirror (C.5 / A.1 / A.3)</w:t>
      </w:r>
    </w:p>
    <w:p>
      <w:pPr>
        <w:pStyle w:val="Normal"/>
      </w:pPr>
      <w:r>
        <w:t xml:space="preserve">The front-panel LED is a single 4-color component (R/G/B/W) controlled by the MCU. The LED spec defines 13 device states. Several states share the same animation pattern and differ only by color (e.g., Hub WAN Down and Satellite Poor Signal both use Pulse Red+Green). This makes them indistinguishable to users with color vision deficiency, an EAA A.1/A.3 hardware gap that cannot be closed without a product redesign.</w:t>
      </w:r>
    </w:p>
    <w:p>
      <w:pPr>
        <w:pStyle w:val="Normal"/>
      </w:pPr>
      <w:r>
        <w:t xml:space="preserve">WebUI mitigation implemented:</w:t>
      </w:r>
    </w:p>
    <w:p>
      <w:pPr>
        <w:pStyle w:val="ListParagraph"/>
        <w:numPr>
          <w:ilvl w:val="0"/>
          <w:numId w:val="1"/>
        </w:numPr>
      </w:pPr>
      <w:r>
        <w:t xml:space="preserve">MOCK.device.led_state field added; production source is the LED control script state machine</w:t>
      </w:r>
    </w:p>
    <w:p>
      <w:pPr>
        <w:pStyle w:val="ListParagraph"/>
        <w:numPr>
          <w:ilvl w:val="0"/>
          <w:numId w:val="1"/>
        </w:numPr>
      </w:pPr>
      <w:r>
        <w:t xml:space="preserve">LED_STATE_MAP in dashboard.js maps all 13 states to { label, pattern, cssClass }</w:t>
      </w:r>
    </w:p>
    <w:p>
      <w:pPr>
        <w:pStyle w:val="ListParagraph"/>
        <w:numPr>
          <w:ilvl w:val="0"/>
          <w:numId w:val="1"/>
        </w:numPr>
      </w:pPr>
      <w:r>
        <w:t xml:space="preserve">Device Info card renders a labeled text indicator: dot (animated, neutral color) + state name in monospace text</w:t>
      </w:r>
    </w:p>
    <w:p>
      <w:pPr>
        <w:pStyle w:val="ListParagraph"/>
        <w:numPr>
          <w:ilvl w:val="0"/>
          <w:numId w:val="1"/>
        </w:numPr>
      </w:pPr>
      <w:r>
        <w:t xml:space="preserve">Animation classes: .led-solid (static), .led-pulse (breathing, 1.4s), .led-blink (step-end, 0.8s) match MCU patterns</w:t>
      </w:r>
    </w:p>
    <w:p>
      <w:pPr>
        <w:pStyle w:val="ListParagraph"/>
        <w:numPr>
          <w:ilvl w:val="0"/>
          <w:numId w:val="1"/>
        </w:numPr>
      </w:pPr>
      <w:r>
        <w:t xml:space="preserve">role=status + aria-live=polite on the row; aria-label updated with current state name on every render</w:t>
      </w:r>
    </w:p>
    <w:p>
      <w:pPr>
        <w:pStyle w:val="ListParagraph"/>
        <w:numPr>
          <w:ilvl w:val="0"/>
          <w:numId w:val="1"/>
        </w:numPr>
      </w:pPr>
      <w:r>
        <w:t xml:space="preserve">No color dependency: the text label carries full meaning independently of the dot animation</w:t>
      </w:r>
    </w:p>
    <w:p>
      <w:pPr>
        <w:pStyle w:val="Normal"/>
      </w:pPr>
      <w:r>
        <w:t xml:space="preserve">This does not close the hardware A.1/A.3 gap for users of the physical device, but it ensures any user accessing the WebUI can read the current LED state without relying on color or physical sight of the device.</w:t>
      </w:r>
    </w:p>
    <w:p>
      <w:pPr>
        <w:pStyle w:val="Heading2"/>
      </w:pPr>
      <w:r>
        <w:t>WCAG Contrast Audit (C.4)</w:t>
      </w:r>
    </w:p>
    <w:p>
      <w:pPr>
        <w:pStyle w:val="Normal"/>
      </w:pPr>
      <w:r>
        <w:t xml:space="preserve">A formal WCAG 2.1 AA (4.5:1 normal text) audit was run programmatically in-browser across both dark and light themes. All failing color pairs were identified and remediated.</w:t>
      </w:r>
    </w:p>
    <w:p>
      <w:pPr>
        <w:pStyle w:val="Normal"/>
      </w:pPr>
      <w:r>
        <w:t xml:space="preserve">Dark theme normal-text fixes:</w:t>
      </w:r>
    </w:p>
    <w:p>
      <w:pPr>
        <w:pStyle w:val="ListParagraph"/>
        <w:numPr>
          <w:ilvl w:val="0"/>
          <w:numId w:val="1"/>
        </w:numPr>
      </w:pPr>
      <w:r>
        <w:t xml:space="preserve">--text-muted raised from #6b7280 to #808898: 4.77:1 on card bg (#151c2c), 5.37:1 on sidebar bg (#0b0f19)</w:t>
      </w:r>
    </w:p>
    <w:p>
      <w:pPr>
        <w:pStyle w:val="ListParagraph"/>
        <w:numPr>
          <w:ilvl w:val="0"/>
          <w:numId w:val="1"/>
        </w:numPr>
      </w:pPr>
      <w:r>
        <w:t xml:space="preserve">Scoped #tooltip { --text-muted: #9ca3af } override: 5.83:1 on tooltip bg (#1e2740)</w:t>
      </w:r>
    </w:p>
    <w:p>
      <w:pPr>
        <w:pStyle w:val="ListParagraph"/>
        <w:numPr>
          <w:ilvl w:val="0"/>
          <w:numId w:val="1"/>
        </w:numPr>
      </w:pPr>
      <w:r>
        <w:t xml:space="preserve">.nav-section-label raised from #4b5563 to #7a8a9a: 5.01:1 on sidebar</w:t>
      </w:r>
    </w:p>
    <w:p>
      <w:pPr>
        <w:pStyle w:val="ListParagraph"/>
        <w:numPr>
          <w:ilvl w:val="0"/>
          <w:numId w:val="1"/>
        </w:numPr>
      </w:pPr>
      <w:r>
        <w:t xml:space="preserve">.nav-sublink raised from #6b7280 to #808898: 5.37:1 on sidebar</w:t>
      </w:r>
    </w:p>
    <w:p>
      <w:pPr>
        <w:pStyle w:val="Normal"/>
      </w:pPr>
      <w:r>
        <w:t xml:space="preserve">Light theme normal-text fixes:</w:t>
      </w:r>
    </w:p>
    <w:p>
      <w:pPr>
        <w:pStyle w:val="ListParagraph"/>
        <w:numPr>
          <w:ilvl w:val="0"/>
          <w:numId w:val="1"/>
        </w:numPr>
      </w:pPr>
      <w:r>
        <w:t xml:space="preserve">--text-muted raised from #9ca3af to #5a6a7e: 5.53:1 on white</w:t>
      </w:r>
    </w:p>
    <w:p>
      <w:pPr>
        <w:pStyle w:val="ListParagraph"/>
        <w:numPr>
          <w:ilvl w:val="0"/>
          <w:numId w:val="1"/>
        </w:numPr>
      </w:pPr>
      <w:r>
        <w:t xml:space="preserve">All six accent colors overridden with darker variants (previously 1.92-2.15:1, now all pass):</w:t>
      </w:r>
    </w:p>
    <w:p>
      <w:pPr>
        <w:pStyle w:val="ListParagraph"/>
        <w:numPr>
          <w:ilvl w:val="0"/>
          <w:numId w:val="1"/>
        </w:numPr>
      </w:pPr>
      <w:r>
        <w:t xml:space="preserve">Cyan #00C8E6 -&gt; #0e7490: 5.36:1; Green #34d399 -&gt; #15803d: 5.02:1</w:t>
      </w:r>
    </w:p>
    <w:p>
      <w:pPr>
        <w:pStyle w:val="ListParagraph"/>
        <w:numPr>
          <w:ilvl w:val="0"/>
          <w:numId w:val="1"/>
        </w:numPr>
      </w:pPr>
      <w:r>
        <w:t xml:space="preserve">Amber #f59e0b -&gt; #b45309: 5.02:1; Red #ef4444 -&gt; #dc2626: 4.83:1</w:t>
      </w:r>
    </w:p>
    <w:p>
      <w:pPr>
        <w:pStyle w:val="ListParagraph"/>
        <w:numPr>
          <w:ilvl w:val="0"/>
          <w:numId w:val="1"/>
        </w:numPr>
      </w:pPr>
      <w:r>
        <w:t xml:space="preserve">Blue #3b82f6 -&gt; #2563eb: 5.17:1; Purple #a78bfa -&gt; #7c3aed: 5.70:1</w:t>
      </w:r>
    </w:p>
    <w:p>
      <w:pPr>
        <w:pStyle w:val="Normal"/>
      </w:pPr>
      <w:r>
        <w:t xml:space="preserve">Large text 3:1 scan (WCAG 1.4.3):</w:t>
      </w:r>
    </w:p>
    <w:p>
      <w:pPr>
        <w:pStyle w:val="ListParagraph"/>
        <w:numPr>
          <w:ilvl w:val="0"/>
          <w:numId w:val="1"/>
        </w:numPr>
      </w:pPr>
      <w:r>
        <w:t xml:space="preserve">15 large-text elements identified (&gt;= 24px normal weight or &gt;= 18.67px bold)</w:t>
      </w:r>
    </w:p>
    <w:p>
      <w:pPr>
        <w:pStyle w:val="ListParagraph"/>
        <w:numPr>
          <w:ilvl w:val="0"/>
          <w:numId w:val="1"/>
        </w:numPr>
      </w:pPr>
      <w:r>
        <w:t xml:space="preserve">Zero failures in dark theme; light theme scan produced false positives from test-mode theme switching (user-verified correct visually)</w:t>
      </w:r>
    </w:p>
    <w:p>
      <w:pPr>
        <w:pStyle w:val="Normal"/>
      </w:pPr>
      <w:r>
        <w:t xml:space="preserve">Non-text contrast (WCAG 1.4.11):</w:t>
      </w:r>
    </w:p>
    <w:p>
      <w:pPr>
        <w:pStyle w:val="ListParagraph"/>
        <w:numPr>
          <w:ilvl w:val="0"/>
          <w:numId w:val="1"/>
        </w:numPr>
      </w:pPr>
      <w:r>
        <w:t xml:space="preserve">New --border-ui: #5a6e82 variable added: 3.23:1 on card, 3.64:1 on page, 3.49:1 on topbar</w:t>
      </w:r>
    </w:p>
    <w:p>
      <w:pPr>
        <w:pStyle w:val="ListParagraph"/>
        <w:numPr>
          <w:ilvl w:val="0"/>
          <w:numId w:val="1"/>
        </w:numPr>
      </w:pPr>
      <w:r>
        <w:t xml:space="preserve">--border-bright raised from #374151 to #6b7280: 3.52:1 on card</w:t>
      </w:r>
    </w:p>
    <w:p>
      <w:pPr>
        <w:pStyle w:val="ListParagraph"/>
        <w:numPr>
          <w:ilvl w:val="0"/>
          <w:numId w:val="1"/>
        </w:numPr>
      </w:pPr>
      <w:r>
        <w:t xml:space="preserve">Applied --border-ui to: shaper-input, shaper-select, sv-goto-input, sv-sort-select, btn-topbar, theme-toggle, st-advanced-toggle, sth-export-btn, shaper-btn-cancel</w:t>
      </w:r>
    </w:p>
    <w:p>
      <w:pPr>
        <w:pStyle w:val="ListParagraph"/>
        <w:numPr>
          <w:ilvl w:val="0"/>
          <w:numId w:val="1"/>
        </w:numPr>
      </w:pPr>
      <w:r>
        <w:t xml:space="preserve">Global input[type=checkbox/radio]: accent-color: var(--accent-cyan) + outline: 1px solid var(--border-ui) ensures 3:1 boundary on all dark surfaces</w:t>
      </w:r>
    </w:p>
    <w:p>
      <w:pPr>
        <w:pStyle w:val="ListParagraph"/>
        <w:numPr>
          <w:ilvl w:val="0"/>
          <w:numId w:val="1"/>
        </w:numPr>
      </w:pPr>
      <w:r>
        <w:t xml:space="preserve">Borderless filled-background buttons (cyan save button, active view-toggle) correctly excluded: boundary conveyed by background fill, not border</w:t>
      </w:r>
    </w:p>
    <w:p>
      <w:pPr>
        <w:pStyle w:val="Normal"/>
      </w:pPr>
      <w:r>
        <w:t xml:space="preserve">No color dependency introduced: overrides scoped to interactive control rules only.</w:t>
      </w:r>
    </w:p>
    <w:p>
      <w:pPr>
        <w:pStyle w:val="Heading2"/>
      </w:pPr>
      <w:r>
        <w:t>Multi-Sensory Feedback (C.2)</w:t>
      </w:r>
    </w:p>
    <w:p>
      <w:pPr>
        <w:pStyle w:val="ListParagraph"/>
        <w:numPr>
          <w:ilvl w:val="0"/>
          <w:numId w:val="1"/>
        </w:numPr>
      </w:pPr>
      <w:r>
        <w:t xml:space="preserve">Tooltips fire on mouseenter and focus; dismissed on mouseleave and blur</w:t>
      </w:r>
    </w:p>
    <w:p>
      <w:pPr>
        <w:pStyle w:val="ListParagraph"/>
        <w:numPr>
          <w:ilvl w:val="0"/>
          <w:numId w:val="1"/>
        </w:numPr>
      </w:pPr>
      <w:r>
        <w:t xml:space="preserve">WAN tooltip: structured data (media type, state, speed, duplex, ISP, IP, MAC) on focus</w:t>
      </w:r>
    </w:p>
    <w:p>
      <w:pPr>
        <w:pStyle w:val="ListParagraph"/>
        <w:numPr>
          <w:ilvl w:val="0"/>
          <w:numId w:val="1"/>
        </w:numPr>
      </w:pPr>
      <w:r>
        <w:t xml:space="preserve">Text alternatives alongside all visual-only indicators in Port Status</w:t>
      </w:r>
    </w:p>
    <w:p>
      <w:pPr>
        <w:pStyle w:val="Heading2"/>
      </w:pPr>
      <w:r>
        <w:t>Forced Colors / High Contrast Mode (C.7)</w:t>
      </w:r>
    </w:p>
    <w:p>
      <w:pPr>
        <w:pStyle w:val="ListParagraph"/>
        <w:numPr>
          <w:ilvl w:val="0"/>
          <w:numId w:val="1"/>
        </w:numPr>
      </w:pPr>
      <w:r>
        <w:t xml:space="preserve">@media (forced-colors: active) block implemented</w:t>
      </w:r>
    </w:p>
    <w:p>
      <w:pPr>
        <w:pStyle w:val="ListParagraph"/>
        <w:numPr>
          <w:ilvl w:val="0"/>
          <w:numId w:val="1"/>
        </w:numPr>
      </w:pPr>
      <w:r>
        <w:t xml:space="preserve">Covers: state dots, focus rings, badges, LTE signal bars, tooltip background/borders</w:t>
      </w:r>
    </w:p>
    <w:p>
      <w:pPr>
        <w:pStyle w:val="ListParagraph"/>
        <w:numPr>
          <w:ilvl w:val="0"/>
          <w:numId w:val="1"/>
        </w:numPr>
      </w:pPr>
      <w:r>
        <w:t xml:space="preserve">Strategy: relies on OS-level activation (Windows: Settings &gt; Accessibility &gt; Contrast themes) rather than a custom in-app toggle</w:t>
      </w:r>
    </w:p>
    <w:p>
      <w:pPr>
        <w:pStyle w:val="Normal"/>
      </w:pPr>
    </w:p>
    <w:p>
      <w:pPr>
        <w:pStyle w:val="Heading1"/>
      </w:pPr>
      <w:r>
        <w:t>Remaining Work for Full Compliance</w:t>
      </w:r>
    </w:p>
    <w:p>
      <w:pPr>
        <w:pStyle w:val="Heading2"/>
      </w:pPr>
      <w:r>
        <w:t>Software / UI (Engineering)</w:t>
      </w:r>
    </w:p>
    <w:tbl>
      <w:tblPr>
        <w:tblStyle w:val="TableGrid"/>
        <w:tblW w:w="9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2900"/>
        <w:gridCol w:w="1134"/>
        <w:gridCol w:w="4600"/>
      </w:tblGrid>
      <w:tr>
        <w:tc>
          <w:tcPr>
            <w:tcW w:w="1100" w:type="dxa"/>
          </w:tcPr>
          <w:p>
            <w:pPr>
              <w:pStyle w:val="TableHeader"/>
              <w:rPr>
                <w:b/>
              </w:rPr>
            </w:pPr>
            <w:r>
              <w:rPr>
                <w:b/>
              </w:rPr>
              <w:t xml:space="preserve">Priority</w:t>
            </w:r>
          </w:p>
        </w:tc>
        <w:tc>
          <w:tcPr>
            <w:tcW w:w="2900" w:type="dxa"/>
          </w:tcPr>
          <w:p>
            <w:pPr>
              <w:pStyle w:val="TableHeader"/>
              <w:rPr>
                <w:b/>
              </w:rPr>
            </w:pPr>
            <w:r>
              <w:rPr>
                <w:b/>
              </w:rPr>
              <w:t xml:space="preserve">Item</w:t>
            </w:r>
          </w:p>
        </w:tc>
        <w:tc>
          <w:tcPr>
            <w:tcW w:w="1134" w:type="dxa"/>
          </w:tcPr>
          <w:p>
            <w:pPr>
              <w:pStyle w:val="TableHeader"/>
              <w:rPr>
                <w:b/>
              </w:rPr>
            </w:pPr>
            <w:r>
              <w:rPr>
                <w:b/>
              </w:rPr>
              <w:t xml:space="preserve">Refs</w:t>
            </w:r>
          </w:p>
        </w:tc>
        <w:tc>
          <w:tcPr>
            <w:tcW w:w="4600" w:type="dxa"/>
          </w:tcPr>
          <w:p>
            <w:pPr>
              <w:pStyle w:val="TableHeader"/>
              <w:rPr>
                <w:b/>
              </w:rPr>
            </w:pPr>
            <w:r>
              <w:rPr>
                <w:b/>
              </w:rPr>
              <w:t xml:space="preserve">Action</w:t>
            </w:r>
          </w:p>
        </w:tc>
      </w:tr>
      <w:tr>
        <w:tc>
          <w:tcPr>
            <w:tcW w:w="1100" w:type="dxa"/>
          </w:tcPr>
          <w:p>
            <w:pPr>
              <w:pStyle w:val="Normal"/>
            </w:pPr>
            <w:r>
              <w:t xml:space="preserve">HIGH</w:t>
            </w:r>
          </w:p>
        </w:tc>
        <w:tc>
          <w:tcPr>
            <w:tcW w:w="2900" w:type="dxa"/>
          </w:tcPr>
          <w:p>
            <w:pPr>
              <w:pStyle w:val="Normal"/>
            </w:pPr>
            <w:r>
              <w:t xml:space="preserve">Dashboard chart indicators</w:t>
            </w:r>
          </w:p>
        </w:tc>
        <w:tc>
          <w:tcPr>
            <w:tcW w:w="1134" w:type="dxa"/>
          </w:tcPr>
          <w:p>
            <w:pPr>
              <w:pStyle w:val="Normal"/>
            </w:pPr>
            <w:r>
              <w:t xml:space="preserve">C.2, C.5</w:t>
            </w:r>
          </w:p>
        </w:tc>
        <w:tc>
          <w:tcPr>
            <w:tcW w:w="4600" w:type="dxa"/>
          </w:tcPr>
          <w:p>
            <w:pPr>
              <w:pStyle w:val="Normal"/>
            </w:pPr>
            <w:r>
              <w:t xml:space="preserve">Add shape/pattern alternatives to throughput, airtime, and QoE charts -- currently color-primary only (keyboard tooltips added; visual shape coding outstanding)</w:t>
            </w:r>
          </w:p>
        </w:tc>
      </w:tr>
      <w:tr>
        <w:tc>
          <w:tcPr>
            <w:tcW w:w="1100" w:type="dxa"/>
          </w:tcPr>
          <w:p>
            <w:pPr>
              <w:pStyle w:val="Normal"/>
            </w:pPr>
            <w:r>
              <w:t xml:space="preserve">LOW</w:t>
            </w:r>
          </w:p>
        </w:tc>
        <w:tc>
          <w:tcPr>
            <w:tcW w:w="2900" w:type="dxa"/>
          </w:tcPr>
          <w:p>
            <w:pPr>
              <w:pStyle w:val="Normal"/>
            </w:pPr>
            <w:r>
              <w:t xml:space="preserve">Reflow at 320px viewport</w:t>
            </w:r>
          </w:p>
        </w:tc>
        <w:tc>
          <w:tcPr>
            <w:tcW w:w="1134" w:type="dxa"/>
          </w:tcPr>
          <w:p>
            <w:pPr>
              <w:pStyle w:val="Normal"/>
            </w:pPr>
            <w:r>
              <w:t xml:space="preserve">C.4</w:t>
            </w:r>
          </w:p>
        </w:tc>
        <w:tc>
          <w:tcPr>
            <w:tcW w:w="4600" w:type="dxa"/>
          </w:tcPr>
          <w:p>
            <w:pPr>
              <w:pStyle w:val="Normal"/>
            </w:pPr>
            <w:r>
              <w:t xml:space="preserve">Verify WCAG 1.4.10: no horizontal scroll at 320px equivalent (400% zoom on 1280px screen)</w:t>
            </w:r>
          </w:p>
        </w:tc>
      </w:tr>
      <w:tr>
        <w:tc>
          <w:tcPr>
            <w:tcW w:w="1100" w:type="dxa"/>
          </w:tcPr>
          <w:p>
            <w:pPr>
              <w:pStyle w:val="Normal"/>
            </w:pPr>
            <w:r>
              <w:t xml:space="preserve">MEDIUM</w:t>
            </w:r>
          </w:p>
        </w:tc>
        <w:tc>
          <w:tcPr>
            <w:tcW w:w="2900" w:type="dxa"/>
          </w:tcPr>
          <w:p>
            <w:pPr>
              <w:pStyle w:val="Normal"/>
            </w:pPr>
            <w:r>
              <w:t xml:space="preserve">AT compatibility testing</w:t>
            </w:r>
          </w:p>
        </w:tc>
        <w:tc>
          <w:tcPr>
            <w:tcW w:w="1134" w:type="dxa"/>
          </w:tcPr>
          <w:p>
            <w:pPr>
              <w:pStyle w:val="Normal"/>
            </w:pPr>
            <w:r>
              <w:t xml:space="preserve">C.1, C.14</w:t>
            </w:r>
          </w:p>
        </w:tc>
        <w:tc>
          <w:tcPr>
            <w:tcW w:w="4600" w:type="dxa"/>
          </w:tcPr>
          <w:p>
            <w:pPr>
              <w:pStyle w:val="Normal"/>
            </w:pPr>
            <w:r>
              <w:t xml:space="preserve">Formal screen reader testing with NVDA and JAWS; publish AT compatibility list (B.7)</w:t>
            </w:r>
          </w:p>
        </w:tc>
      </w:tr>
    </w:tbl>
    <w:p>
      <w:pPr>
        <w:pStyle w:val="Normal"/>
      </w:pPr>
    </w:p>
    <w:p>
      <w:pPr>
        <w:pStyle w:val="Heading2"/>
      </w:pPr>
      <w:r>
        <w:t>Documentation / Tech Pubs</w:t>
      </w:r>
    </w:p>
    <w:tbl>
      <w:tblPr>
        <w:tblStyle w:val="TableGrid"/>
        <w:tblW w:w="9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2900"/>
        <w:gridCol w:w="1134"/>
        <w:gridCol w:w="4600"/>
      </w:tblGrid>
      <w:tr>
        <w:tc>
          <w:tcPr>
            <w:tcW w:w="1100" w:type="dxa"/>
          </w:tcPr>
          <w:p>
            <w:pPr>
              <w:pStyle w:val="TableHeader"/>
              <w:rPr>
                <w:b/>
              </w:rPr>
            </w:pPr>
            <w:r>
              <w:rPr>
                <w:b/>
              </w:rPr>
              <w:t xml:space="preserve">Priority</w:t>
            </w:r>
          </w:p>
        </w:tc>
        <w:tc>
          <w:tcPr>
            <w:tcW w:w="2900" w:type="dxa"/>
          </w:tcPr>
          <w:p>
            <w:pPr>
              <w:pStyle w:val="TableHeader"/>
              <w:rPr>
                <w:b/>
              </w:rPr>
            </w:pPr>
            <w:r>
              <w:rPr>
                <w:b/>
              </w:rPr>
              <w:t xml:space="preserve">Item</w:t>
            </w:r>
          </w:p>
        </w:tc>
        <w:tc>
          <w:tcPr>
            <w:tcW w:w="1134" w:type="dxa"/>
          </w:tcPr>
          <w:p>
            <w:pPr>
              <w:pStyle w:val="TableHeader"/>
              <w:rPr>
                <w:b/>
              </w:rPr>
            </w:pPr>
            <w:r>
              <w:rPr>
                <w:b/>
              </w:rPr>
              <w:t xml:space="preserve">Refs</w:t>
            </w:r>
          </w:p>
        </w:tc>
        <w:tc>
          <w:tcPr>
            <w:tcW w:w="4600" w:type="dxa"/>
          </w:tcPr>
          <w:p>
            <w:pPr>
              <w:pStyle w:val="TableHeader"/>
              <w:rPr>
                <w:b/>
              </w:rPr>
            </w:pPr>
            <w:r>
              <w:rPr>
                <w:b/>
              </w:rPr>
              <w:t xml:space="preserve">Action</w:t>
            </w:r>
          </w:p>
        </w:tc>
      </w:tr>
      <w:tr>
        <w:tc>
          <w:tcPr>
            <w:tcW w:w="1100" w:type="dxa"/>
          </w:tcPr>
          <w:p>
            <w:pPr>
              <w:pStyle w:val="Normal"/>
            </w:pPr>
            <w:r>
              <w:t xml:space="preserve">HIGH</w:t>
            </w:r>
          </w:p>
        </w:tc>
        <w:tc>
          <w:tcPr>
            <w:tcW w:w="2900" w:type="dxa"/>
          </w:tcPr>
          <w:p>
            <w:pPr>
              <w:pStyle w:val="Normal"/>
            </w:pPr>
            <w:r>
              <w:t xml:space="preserve">PDF accessibility</w:t>
            </w:r>
          </w:p>
        </w:tc>
        <w:tc>
          <w:tcPr>
            <w:tcW w:w="1134" w:type="dxa"/>
          </w:tcPr>
          <w:p>
            <w:pPr>
              <w:pStyle w:val="Normal"/>
            </w:pPr>
            <w:r>
              <w:t xml:space="preserve">B.1, B.4</w:t>
            </w:r>
          </w:p>
        </w:tc>
        <w:tc>
          <w:tcPr>
            <w:tcW w:w="4600" w:type="dxa"/>
          </w:tcPr>
          <w:p>
            <w:pPr>
              <w:pStyle w:val="Normal"/>
            </w:pPr>
            <w:r>
              <w:t xml:space="preserve">Produce tagged PDF-UA versions of QSG and User Guide; add alt-text to all figures</w:t>
            </w:r>
          </w:p>
        </w:tc>
      </w:tr>
      <w:tr>
        <w:tc>
          <w:tcPr>
            <w:tcW w:w="1100" w:type="dxa"/>
          </w:tcPr>
          <w:p>
            <w:pPr>
              <w:pStyle w:val="Normal"/>
            </w:pPr>
            <w:r>
              <w:t xml:space="preserve">HIGH</w:t>
            </w:r>
          </w:p>
        </w:tc>
        <w:tc>
          <w:tcPr>
            <w:tcW w:w="2900" w:type="dxa"/>
          </w:tcPr>
          <w:p>
            <w:pPr>
              <w:pStyle w:val="Normal"/>
            </w:pPr>
            <w:r>
              <w:t xml:space="preserve">HTML documentation</w:t>
            </w:r>
          </w:p>
        </w:tc>
        <w:tc>
          <w:tcPr>
            <w:tcW w:w="1134" w:type="dxa"/>
          </w:tcPr>
          <w:p>
            <w:pPr>
              <w:pStyle w:val="Normal"/>
            </w:pPr>
            <w:r>
              <w:t xml:space="preserve">B.2</w:t>
            </w:r>
          </w:p>
        </w:tc>
        <w:tc>
          <w:tcPr>
            <w:tcW w:w="4600" w:type="dxa"/>
          </w:tcPr>
          <w:p>
            <w:pPr>
              <w:pStyle w:val="Normal"/>
            </w:pPr>
            <w:r>
              <w:t xml:space="preserve">Provide docs in HTML in addition to PDF</w:t>
            </w:r>
          </w:p>
        </w:tc>
      </w:tr>
      <w:tr>
        <w:tc>
          <w:tcPr>
            <w:tcW w:w="1100" w:type="dxa"/>
          </w:tcPr>
          <w:p>
            <w:pPr>
              <w:pStyle w:val="Normal"/>
            </w:pPr>
            <w:r>
              <w:t xml:space="preserve">HIGH</w:t>
            </w:r>
          </w:p>
        </w:tc>
        <w:tc>
          <w:tcPr>
            <w:tcW w:w="2900" w:type="dxa"/>
          </w:tcPr>
          <w:p>
            <w:pPr>
              <w:pStyle w:val="Normal"/>
            </w:pPr>
            <w:r>
              <w:t xml:space="preserve">Accessibility features section</w:t>
            </w:r>
          </w:p>
        </w:tc>
        <w:tc>
          <w:tcPr>
            <w:tcW w:w="1134" w:type="dxa"/>
          </w:tcPr>
          <w:p>
            <w:pPr>
              <w:pStyle w:val="Normal"/>
            </w:pPr>
            <w:r>
              <w:t xml:space="preserve">B.5, B.6</w:t>
            </w:r>
          </w:p>
        </w:tc>
        <w:tc>
          <w:tcPr>
            <w:tcW w:w="4600" w:type="dxa"/>
          </w:tcPr>
          <w:p>
            <w:pPr>
              <w:pStyle w:val="Normal"/>
            </w:pPr>
            <w:r>
              <w:t xml:space="preserve">Document all accessibility features and how to activate them</w:t>
            </w:r>
          </w:p>
        </w:tc>
      </w:tr>
      <w:tr>
        <w:tc>
          <w:tcPr>
            <w:tcW w:w="1100" w:type="dxa"/>
          </w:tcPr>
          <w:p>
            <w:pPr>
              <w:pStyle w:val="Normal"/>
            </w:pPr>
            <w:r>
              <w:t xml:space="preserve">HIGH</w:t>
            </w:r>
          </w:p>
        </w:tc>
        <w:tc>
          <w:tcPr>
            <w:tcW w:w="2900" w:type="dxa"/>
          </w:tcPr>
          <w:p>
            <w:pPr>
              <w:pStyle w:val="Normal"/>
            </w:pPr>
            <w:r>
              <w:t xml:space="preserve">High Contrast Mode guide</w:t>
            </w:r>
          </w:p>
        </w:tc>
        <w:tc>
          <w:tcPr>
            <w:tcW w:w="1134" w:type="dxa"/>
          </w:tcPr>
          <w:p>
            <w:pPr>
              <w:pStyle w:val="Normal"/>
            </w:pPr>
            <w:r>
              <w:t xml:space="preserve">B.5, C.7</w:t>
            </w:r>
          </w:p>
        </w:tc>
        <w:tc>
          <w:tcPr>
            <w:tcW w:w="4600" w:type="dxa"/>
          </w:tcPr>
          <w:p>
            <w:pPr>
              <w:pStyle w:val="Normal"/>
            </w:pPr>
            <w:r>
              <w:t xml:space="preserve">Document OS HC mode activation: Windows Settings &gt; Accessibility &gt; Contrast themes</w:t>
            </w:r>
          </w:p>
        </w:tc>
      </w:tr>
      <w:tr>
        <w:tc>
          <w:tcPr>
            <w:tcW w:w="1100" w:type="dxa"/>
          </w:tcPr>
          <w:p>
            <w:pPr>
              <w:pStyle w:val="Normal"/>
            </w:pPr>
            <w:r>
              <w:t xml:space="preserve">HIGH</w:t>
            </w:r>
          </w:p>
        </w:tc>
        <w:tc>
          <w:tcPr>
            <w:tcW w:w="2900" w:type="dxa"/>
          </w:tcPr>
          <w:p>
            <w:pPr>
              <w:pStyle w:val="Normal"/>
            </w:pPr>
            <w:r>
              <w:t xml:space="preserve">Assistive technology list</w:t>
            </w:r>
          </w:p>
        </w:tc>
        <w:tc>
          <w:tcPr>
            <w:tcW w:w="1134" w:type="dxa"/>
          </w:tcPr>
          <w:p>
            <w:pPr>
              <w:pStyle w:val="Normal"/>
            </w:pPr>
            <w:r>
              <w:t xml:space="preserve">B.7</w:t>
            </w:r>
          </w:p>
        </w:tc>
        <w:tc>
          <w:tcPr>
            <w:tcW w:w="4600" w:type="dxa"/>
          </w:tcPr>
          <w:p>
            <w:pPr>
              <w:pStyle w:val="Normal"/>
            </w:pPr>
            <w:r>
              <w:t xml:space="preserve">List of screen readers and other AT tested with the WebUI</w:t>
            </w:r>
          </w:p>
        </w:tc>
      </w:tr>
    </w:tbl>
    <w:p>
      <w:pPr>
        <w:pStyle w:val="Normal"/>
      </w:pPr>
    </w:p>
    <w:p>
      <w:pPr>
        <w:pStyle w:val="Heading2"/>
      </w:pPr>
      <w:r>
        <w:t>Hardware / RF</w:t>
      </w:r>
    </w:p>
    <w:tbl>
      <w:tblPr>
        <w:tblStyle w:val="TableGrid"/>
        <w:tblW w:w="9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2900"/>
        <w:gridCol w:w="1134"/>
        <w:gridCol w:w="4600"/>
      </w:tblGrid>
      <w:tr>
        <w:tc>
          <w:tcPr>
            <w:tcW w:w="1100" w:type="dxa"/>
          </w:tcPr>
          <w:p>
            <w:pPr>
              <w:pStyle w:val="TableHeader"/>
              <w:rPr>
                <w:b/>
              </w:rPr>
            </w:pPr>
            <w:r>
              <w:rPr>
                <w:b/>
              </w:rPr>
              <w:t xml:space="preserve">Priority</w:t>
            </w:r>
          </w:p>
        </w:tc>
        <w:tc>
          <w:tcPr>
            <w:tcW w:w="2900" w:type="dxa"/>
          </w:tcPr>
          <w:p>
            <w:pPr>
              <w:pStyle w:val="TableHeader"/>
              <w:rPr>
                <w:b/>
              </w:rPr>
            </w:pPr>
            <w:r>
              <w:rPr>
                <w:b/>
              </w:rPr>
              <w:t xml:space="preserve">Item</w:t>
            </w:r>
          </w:p>
        </w:tc>
        <w:tc>
          <w:tcPr>
            <w:tcW w:w="1134" w:type="dxa"/>
          </w:tcPr>
          <w:p>
            <w:pPr>
              <w:pStyle w:val="TableHeader"/>
              <w:rPr>
                <w:b/>
              </w:rPr>
            </w:pPr>
            <w:r>
              <w:rPr>
                <w:b/>
              </w:rPr>
              <w:t xml:space="preserve">Refs</w:t>
            </w:r>
          </w:p>
        </w:tc>
        <w:tc>
          <w:tcPr>
            <w:tcW w:w="4600" w:type="dxa"/>
          </w:tcPr>
          <w:p>
            <w:pPr>
              <w:pStyle w:val="TableHeader"/>
              <w:rPr>
                <w:b/>
              </w:rPr>
            </w:pPr>
            <w:r>
              <w:rPr>
                <w:b/>
              </w:rPr>
              <w:t xml:space="preserve">Action</w:t>
            </w:r>
          </w:p>
        </w:tc>
      </w:tr>
      <w:tr>
        <w:tc>
          <w:tcPr>
            <w:tcW w:w="1100" w:type="dxa"/>
          </w:tcPr>
          <w:p>
            <w:pPr>
              <w:pStyle w:val="Normal"/>
            </w:pPr>
            <w:r>
              <w:t xml:space="preserve">CRITICAL</w:t>
            </w:r>
          </w:p>
        </w:tc>
        <w:tc>
          <w:tcPr>
            <w:tcW w:w="2900" w:type="dxa"/>
          </w:tcPr>
          <w:p>
            <w:pPr>
              <w:pStyle w:val="Normal"/>
            </w:pPr>
            <w:r>
              <w:t xml:space="preserve">Hearing aid interference testing</w:t>
            </w:r>
          </w:p>
        </w:tc>
        <w:tc>
          <w:tcPr>
            <w:tcW w:w="1134" w:type="dxa"/>
          </w:tcPr>
          <w:p>
            <w:pPr>
              <w:pStyle w:val="Normal"/>
            </w:pPr>
            <w:r>
              <w:t xml:space="preserve">E.1</w:t>
            </w:r>
          </w:p>
        </w:tc>
        <w:tc>
          <w:tcPr>
            <w:tcW w:w="4600" w:type="dxa"/>
          </w:tcPr>
          <w:p>
            <w:pPr>
              <w:pStyle w:val="Normal"/>
            </w:pPr>
            <w:r>
              <w:t xml:space="preserve">Commission EN 301 489-17 testing -- no evidence of compliance on file</w:t>
            </w:r>
          </w:p>
        </w:tc>
      </w:tr>
    </w:tbl>
    <w:p>
      <w:pPr>
        <w:pStyle w:val="Normal"/>
      </w:pPr>
    </w:p>
    <w:p>
      <w:pPr>
        <w:pStyle w:val="Heading2"/>
      </w:pPr>
      <w:r>
        <w:t>Support / Marketing</w:t>
      </w:r>
    </w:p>
    <w:tbl>
      <w:tblPr>
        <w:tblStyle w:val="TableGrid"/>
        <w:tblW w:w="9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2900"/>
        <w:gridCol w:w="1134"/>
        <w:gridCol w:w="4600"/>
      </w:tblGrid>
      <w:tr>
        <w:tc>
          <w:tcPr>
            <w:tcW w:w="1100" w:type="dxa"/>
          </w:tcPr>
          <w:p>
            <w:pPr>
              <w:pStyle w:val="TableHeader"/>
              <w:rPr>
                <w:b/>
              </w:rPr>
            </w:pPr>
            <w:r>
              <w:rPr>
                <w:b/>
              </w:rPr>
              <w:t xml:space="preserve">Priority</w:t>
            </w:r>
          </w:p>
        </w:tc>
        <w:tc>
          <w:tcPr>
            <w:tcW w:w="2900" w:type="dxa"/>
          </w:tcPr>
          <w:p>
            <w:pPr>
              <w:pStyle w:val="TableHeader"/>
              <w:rPr>
                <w:b/>
              </w:rPr>
            </w:pPr>
            <w:r>
              <w:rPr>
                <w:b/>
              </w:rPr>
              <w:t xml:space="preserve">Item</w:t>
            </w:r>
          </w:p>
        </w:tc>
        <w:tc>
          <w:tcPr>
            <w:tcW w:w="1134" w:type="dxa"/>
          </w:tcPr>
          <w:p>
            <w:pPr>
              <w:pStyle w:val="TableHeader"/>
              <w:rPr>
                <w:b/>
              </w:rPr>
            </w:pPr>
            <w:r>
              <w:rPr>
                <w:b/>
              </w:rPr>
              <w:t xml:space="preserve">Refs</w:t>
            </w:r>
          </w:p>
        </w:tc>
        <w:tc>
          <w:tcPr>
            <w:tcW w:w="4600" w:type="dxa"/>
          </w:tcPr>
          <w:p>
            <w:pPr>
              <w:pStyle w:val="TableHeader"/>
              <w:rPr>
                <w:b/>
              </w:rPr>
            </w:pPr>
            <w:r>
              <w:rPr>
                <w:b/>
              </w:rPr>
              <w:t xml:space="preserve">Action</w:t>
            </w:r>
          </w:p>
        </w:tc>
      </w:tr>
      <w:tr>
        <w:tc>
          <w:tcPr>
            <w:tcW w:w="1100" w:type="dxa"/>
          </w:tcPr>
          <w:p>
            <w:pPr>
              <w:pStyle w:val="Normal"/>
            </w:pPr>
            <w:r>
              <w:t xml:space="preserve">MEDIUM</w:t>
            </w:r>
          </w:p>
        </w:tc>
        <w:tc>
          <w:tcPr>
            <w:tcW w:w="2900" w:type="dxa"/>
          </w:tcPr>
          <w:p>
            <w:pPr>
              <w:pStyle w:val="Normal"/>
            </w:pPr>
            <w:r>
              <w:t xml:space="preserve">Accessibility statement</w:t>
            </w:r>
          </w:p>
        </w:tc>
        <w:tc>
          <w:tcPr>
            <w:tcW w:w="1134" w:type="dxa"/>
          </w:tcPr>
          <w:p>
            <w:pPr>
              <w:pStyle w:val="Normal"/>
            </w:pPr>
            <w:r>
              <w:t xml:space="preserve">F.1</w:t>
            </w:r>
          </w:p>
        </w:tc>
        <w:tc>
          <w:tcPr>
            <w:tcW w:w="4600" w:type="dxa"/>
          </w:tcPr>
          <w:p>
            <w:pPr>
              <w:pStyle w:val="Normal"/>
            </w:pPr>
            <w:r>
              <w:t xml:space="preserve">Add accessibility information and contact to support pages</w:t>
            </w:r>
          </w:p>
        </w:tc>
      </w:tr>
      <w:tr>
        <w:tc>
          <w:tcPr>
            <w:tcW w:w="1100" w:type="dxa"/>
          </w:tcPr>
          <w:p>
            <w:pPr>
              <w:pStyle w:val="Normal"/>
            </w:pPr>
            <w:r>
              <w:t xml:space="preserve">MEDIUM</w:t>
            </w:r>
          </w:p>
        </w:tc>
        <w:tc>
          <w:tcPr>
            <w:tcW w:w="2900" w:type="dxa"/>
          </w:tcPr>
          <w:p>
            <w:pPr>
              <w:pStyle w:val="Normal"/>
            </w:pPr>
            <w:r>
              <w:t xml:space="preserve">Accessible support formats</w:t>
            </w:r>
          </w:p>
        </w:tc>
        <w:tc>
          <w:tcPr>
            <w:tcW w:w="1134" w:type="dxa"/>
          </w:tcPr>
          <w:p>
            <w:pPr>
              <w:pStyle w:val="Normal"/>
            </w:pPr>
            <w:r>
              <w:t xml:space="preserve">F.2</w:t>
            </w:r>
          </w:p>
        </w:tc>
        <w:tc>
          <w:tcPr>
            <w:tcW w:w="4600" w:type="dxa"/>
          </w:tcPr>
          <w:p>
            <w:pPr>
              <w:pStyle w:val="Normal"/>
            </w:pPr>
            <w:r>
              <w:t xml:space="preserve">Expand support beyond phone + email (chat, text, video relay)</w:t>
            </w:r>
          </w:p>
        </w:tc>
      </w:tr>
    </w:tbl>
    <w:p>
      <w:pPr>
        <w:pStyle w:val="Normal"/>
      </w:pPr>
    </w:p>
    <w:p>
      <w:pPr>
        <w:pStyle w:val="Heading1"/>
      </w:pPr>
      <w:r>
        <w:t>Overall Compliance Status by Section</w:t>
      </w:r>
    </w:p>
    <w:tbl>
      <w:tblPr>
        <w:tblStyle w:val="TableGrid"/>
        <w:tblW w:w="9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5734"/>
        <w:gridCol w:w="2400"/>
      </w:tblGrid>
      <w:tr>
        <w:tc>
          <w:tcPr>
            <w:tcW w:w="1600" w:type="dxa"/>
          </w:tcPr>
          <w:p>
            <w:pPr>
              <w:pStyle w:val="TableHeader"/>
              <w:rPr>
                <w:b/>
              </w:rPr>
            </w:pPr>
            <w:r>
              <w:rPr>
                <w:b/>
              </w:rPr>
              <w:t xml:space="preserve">Section</w:t>
            </w:r>
          </w:p>
        </w:tc>
        <w:tc>
          <w:tcPr>
            <w:tcW w:w="5734" w:type="dxa"/>
          </w:tcPr>
          <w:p>
            <w:pPr>
              <w:pStyle w:val="TableHeader"/>
              <w:rPr>
                <w:b/>
              </w:rPr>
            </w:pPr>
            <w:r>
              <w:rPr>
                <w:b/>
              </w:rPr>
              <w:t xml:space="preserve">Area</w:t>
            </w:r>
          </w:p>
        </w:tc>
        <w:tc>
          <w:tcPr>
            <w:tcW w:w="2400" w:type="dxa"/>
          </w:tcPr>
          <w:p>
            <w:pPr>
              <w:pStyle w:val="TableHeader"/>
              <w:rPr>
                <w:b/>
              </w:rPr>
            </w:pPr>
            <w:r>
              <w:rPr>
                <w:b/>
              </w:rPr>
              <w:t xml:space="preserve">Status</w:t>
            </w:r>
          </w:p>
        </w:tc>
      </w:tr>
      <w:tr>
        <w:tc>
          <w:tcPr>
            <w:tcW w:w="1600" w:type="dxa"/>
          </w:tcPr>
          <w:p>
            <w:pPr>
              <w:pStyle w:val="Normal"/>
            </w:pPr>
            <w:r>
              <w:t xml:space="preserve">A</w:t>
            </w:r>
          </w:p>
        </w:tc>
        <w:tc>
          <w:tcPr>
            <w:tcW w:w="5734" w:type="dxa"/>
          </w:tcPr>
          <w:p>
            <w:pPr>
              <w:pStyle w:val="Normal"/>
            </w:pPr>
            <w:r>
              <w:t xml:space="preserve">Product labelling and on-device markings</w:t>
            </w:r>
          </w:p>
        </w:tc>
        <w:tc>
          <w:tcPr>
            <w:tcW w:w="2400" w:type="dxa"/>
          </w:tcPr>
          <w:p>
            <w:pPr>
              <w:pStyle w:val="Normal"/>
            </w:pPr>
            <w:r>
              <w:t xml:space="preserve">CONFIRMED GAP</w:t>
            </w:r>
          </w:p>
        </w:tc>
      </w:tr>
      <w:tr>
        <w:tc>
          <w:tcPr>
            <w:tcW w:w="1600" w:type="dxa"/>
          </w:tcPr>
          <w:p>
            <w:pPr>
              <w:pStyle w:val="Normal"/>
            </w:pPr>
            <w:r>
              <w:t xml:space="preserve">B</w:t>
            </w:r>
          </w:p>
        </w:tc>
        <w:tc>
          <w:tcPr>
            <w:tcW w:w="5734" w:type="dxa"/>
          </w:tcPr>
          <w:p>
            <w:pPr>
              <w:pStyle w:val="Normal"/>
            </w:pPr>
            <w:r>
              <w:t xml:space="preserve">Documentation</w:t>
            </w:r>
          </w:p>
        </w:tc>
        <w:tc>
          <w:tcPr>
            <w:tcW w:w="2400" w:type="dxa"/>
          </w:tcPr>
          <w:p>
            <w:pPr>
              <w:pStyle w:val="Normal"/>
            </w:pPr>
            <w:r>
              <w:t xml:space="preserve">CONFIRMED GAP</w:t>
            </w:r>
          </w:p>
        </w:tc>
      </w:tr>
      <w:tr>
        <w:tc>
          <w:tcPr>
            <w:tcW w:w="1600" w:type="dxa"/>
          </w:tcPr>
          <w:p>
            <w:pPr>
              <w:pStyle w:val="Normal"/>
            </w:pPr>
            <w:r>
              <w:t xml:space="preserve">C</w:t>
            </w:r>
          </w:p>
        </w:tc>
        <w:tc>
          <w:tcPr>
            <w:tcW w:w="5734" w:type="dxa"/>
          </w:tcPr>
          <w:p>
            <w:pPr>
              <w:pStyle w:val="Normal"/>
            </w:pPr>
            <w:r>
              <w:t xml:space="preserve">Software / UI</w:t>
            </w:r>
          </w:p>
        </w:tc>
        <w:tc>
          <w:tcPr>
            <w:tcW w:w="2400" w:type="dxa"/>
          </w:tcPr>
          <w:p>
            <w:pPr>
              <w:pStyle w:val="Normal"/>
            </w:pPr>
            <w:r>
              <w:t xml:space="preserve">PARTIALLY MET (in progress)</w:t>
            </w:r>
          </w:p>
        </w:tc>
      </w:tr>
      <w:tr>
        <w:tc>
          <w:tcPr>
            <w:tcW w:w="1600" w:type="dxa"/>
          </w:tcPr>
          <w:p>
            <w:pPr>
              <w:pStyle w:val="Normal"/>
            </w:pPr>
            <w:r>
              <w:t xml:space="preserve">D</w:t>
            </w:r>
          </w:p>
        </w:tc>
        <w:tc>
          <w:tcPr>
            <w:tcW w:w="5734" w:type="dxa"/>
          </w:tcPr>
          <w:p>
            <w:pPr>
              <w:pStyle w:val="Normal"/>
            </w:pPr>
            <w:r>
              <w:t xml:space="preserve">Physical hardware design</w:t>
            </w:r>
          </w:p>
        </w:tc>
        <w:tc>
          <w:tcPr>
            <w:tcW w:w="2400" w:type="dxa"/>
          </w:tcPr>
          <w:p>
            <w:pPr>
              <w:pStyle w:val="Normal"/>
            </w:pPr>
            <w:r>
              <w:t xml:space="preserve">MET</w:t>
            </w:r>
          </w:p>
        </w:tc>
      </w:tr>
      <w:tr>
        <w:tc>
          <w:tcPr>
            <w:tcW w:w="1600" w:type="dxa"/>
          </w:tcPr>
          <w:p>
            <w:pPr>
              <w:pStyle w:val="Normal"/>
            </w:pPr>
            <w:r>
              <w:t xml:space="preserve">E</w:t>
            </w:r>
          </w:p>
        </w:tc>
        <w:tc>
          <w:tcPr>
            <w:tcW w:w="5734" w:type="dxa"/>
          </w:tcPr>
          <w:p>
            <w:pPr>
              <w:pStyle w:val="Normal"/>
            </w:pPr>
            <w:r>
              <w:t xml:space="preserve">Hearing technology / RF</w:t>
            </w:r>
          </w:p>
        </w:tc>
        <w:tc>
          <w:tcPr>
            <w:tcW w:w="2400" w:type="dxa"/>
          </w:tcPr>
          <w:p>
            <w:pPr>
              <w:pStyle w:val="Normal"/>
            </w:pPr>
            <w:r>
              <w:t xml:space="preserve">CONFIRMED GAP</w:t>
            </w:r>
          </w:p>
        </w:tc>
      </w:tr>
      <w:tr>
        <w:tc>
          <w:tcPr>
            <w:tcW w:w="1600" w:type="dxa"/>
          </w:tcPr>
          <w:p>
            <w:pPr>
              <w:pStyle w:val="Normal"/>
            </w:pPr>
            <w:r>
              <w:t xml:space="preserve">F</w:t>
            </w:r>
          </w:p>
        </w:tc>
        <w:tc>
          <w:tcPr>
            <w:tcW w:w="5734" w:type="dxa"/>
          </w:tcPr>
          <w:p>
            <w:pPr>
              <w:pStyle w:val="Normal"/>
            </w:pPr>
            <w:r>
              <w:t xml:space="preserve">Support services</w:t>
            </w:r>
          </w:p>
        </w:tc>
        <w:tc>
          <w:tcPr>
            <w:tcW w:w="2400" w:type="dxa"/>
          </w:tcPr>
          <w:p>
            <w:pPr>
              <w:pStyle w:val="Normal"/>
            </w:pPr>
            <w:r>
              <w:t xml:space="preserve">PARTIALLY MET</w:t>
            </w:r>
          </w:p>
        </w:tc>
      </w:tr>
      <w:tr>
        <w:tc>
          <w:tcPr>
            <w:tcW w:w="1600" w:type="dxa"/>
          </w:tcPr>
          <w:p>
            <w:pPr>
              <w:pStyle w:val="Normal"/>
            </w:pPr>
            <w:r>
              <w:t xml:space="preserve">G</w:t>
            </w:r>
          </w:p>
        </w:tc>
        <w:tc>
          <w:tcPr>
            <w:tcW w:w="5734" w:type="dxa"/>
          </w:tcPr>
          <w:p>
            <w:pPr>
              <w:pStyle w:val="Normal"/>
            </w:pPr>
            <w:r>
              <w:t xml:space="preserve">Packaging</w:t>
            </w:r>
          </w:p>
        </w:tc>
        <w:tc>
          <w:tcPr>
            <w:tcW w:w="2400" w:type="dxa"/>
          </w:tcPr>
          <w:p>
            <w:pPr>
              <w:pStyle w:val="Normal"/>
            </w:pPr>
            <w:r>
              <w:t xml:space="preserve">CONFIRMED GAP</w:t>
            </w:r>
          </w:p>
        </w:tc>
      </w:tr>
    </w:tbl>
    <w:p>
      <w:pPr>
        <w:pStyle w:val="Normal"/>
      </w:pPr>
    </w:p>
    <w:p>
      <w:pPr>
        <w:pStyle w:val="Normal"/>
      </w:pPr>
      <w:r>
        <w:t xml:space="preserve">Sections B, E, and G require action by tech pubs, hardware, and marketing teams respectively. Section A hardware LED gap is partially mitigated at WebUI level (LED state text indicator). Section C is the primary area of active remediation.</w:t>
      </w:r>
    </w:p>
    <w:sectPr w:rsidR="009766FA" w:rsidRPr="00B574A4" w:rsidSect="009766FA">
      <w:headerReference w:type="default" r:id="rId11"/>
      <w:footerReference w:type="default" r:id="rId12"/>
      <w:pgSz w:w="12240" w:h="15840" w:code="1"/>
      <w:pgMar w:top="1728" w:right="1253" w:bottom="1296" w:left="1253" w:header="57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7703D3" w14:textId="77777777" w:rsidR="00FD45E9" w:rsidRDefault="00FD45E9" w:rsidP="00804183">
      <w:pPr>
        <w:spacing w:after="0" w:line="240" w:lineRule="auto"/>
      </w:pPr>
      <w:r>
        <w:separator/>
      </w:r>
    </w:p>
  </w:endnote>
  <w:endnote w:type="continuationSeparator" w:id="0">
    <w:p w14:paraId="6FF3641D" w14:textId="77777777" w:rsidR="00FD45E9" w:rsidRDefault="00FD45E9" w:rsidP="008041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0"/>
      <w:gridCol w:w="3138"/>
      <w:gridCol w:w="3186"/>
    </w:tblGrid>
    <w:tr w:rsidR="009704C2" w:rsidRPr="00040C0F" w14:paraId="266D6FFF" w14:textId="77777777" w:rsidTr="00D31744">
      <w:tc>
        <w:tcPr>
          <w:tcW w:w="3410" w:type="dxa"/>
        </w:tcPr>
        <w:p w14:paraId="1DAEB519" w14:textId="00209904" w:rsidR="009704C2" w:rsidRPr="00040C0F" w:rsidRDefault="009704C2" w:rsidP="009704C2">
          <w:pPr>
            <w:pStyle w:val="Footer"/>
            <w:jc w:val="left"/>
            <w:rPr>
              <w:lang w:val="en-US"/>
            </w:rPr>
          </w:pPr>
        </w:p>
      </w:tc>
      <w:tc>
        <w:tcPr>
          <w:tcW w:w="3138" w:type="dxa"/>
        </w:tcPr>
        <w:p w14:paraId="52665281" w14:textId="5A592202" w:rsidR="009704C2" w:rsidRPr="006C352F" w:rsidRDefault="00AA0550" w:rsidP="009704C2">
          <w:pPr>
            <w:pStyle w:val="Footer"/>
          </w:pPr>
          <w:sdt>
            <w:sdtPr>
              <w:id w:val="-1685818457"/>
              <w:docPartObj>
                <w:docPartGallery w:val="Page Numbers (Top of Page)"/>
                <w:docPartUnique/>
              </w:docPartObj>
            </w:sdtPr>
            <w:sdtContent>
              <w:r>
                <w:rPr>
                  <w:lang w:val="en-US"/>
                </w:rPr>
                <w:fldChar w:fldCharType="begin"/>
              </w:r>
              <w:r>
                <w:rPr>
                  <w:lang w:val="en-US"/>
                </w:rPr>
                <w:instrText xml:space="preserve"> DATE  \@ "MMMM d, yyyy"  \* MERGEFORMAT </w:instrText>
              </w:r>
              <w:r>
                <w:rPr>
                  <w:lang w:val="en-US"/>
                </w:rPr>
                <w:fldChar w:fldCharType="separate"/>
              </w:r>
              <w:r>
                <w:rPr>
                  <w:noProof/>
                  <w:lang w:val="en-US"/>
                </w:rPr>
                <w:t>April 2026</w:t>
              </w:r>
              <w:r>
                <w:rPr>
                  <w:lang w:val="en-US"/>
                </w:rPr>
                <w:fldChar w:fldCharType="end"/>
              </w:r>
            </w:sdtContent>
          </w:sdt>
          <w:r>
            <w:t xml:space="preserve"> | </w:t>
          </w:r>
          <w:r w:rsidR="009704C2" w:rsidRPr="006C352F">
            <w:t>Version</w:t>
          </w:r>
          <w:r w:rsidR="009704C2">
            <w:t xml:space="preserve"> 1.0</w:t>
          </w:r>
        </w:p>
      </w:tc>
      <w:tc>
        <w:tcPr>
          <w:tcW w:w="3186" w:type="dxa"/>
        </w:tcPr>
        <w:p w14:paraId="3A77F136" w14:textId="77777777" w:rsidR="009704C2" w:rsidRPr="00040C0F" w:rsidRDefault="009704C2" w:rsidP="009704C2">
          <w:pPr>
            <w:pStyle w:val="Footer"/>
            <w:jc w:val="right"/>
            <w:rPr>
              <w:lang w:val="en-US"/>
            </w:rPr>
          </w:pPr>
          <w:r w:rsidRPr="00040C0F">
            <w:rPr>
              <w:b/>
              <w:bCs/>
            </w:rPr>
            <w:fldChar w:fldCharType="begin"/>
          </w:r>
          <w:r w:rsidRPr="00040C0F">
            <w:rPr>
              <w:b/>
              <w:bCs/>
              <w:lang w:val="en-US"/>
            </w:rPr>
            <w:instrText xml:space="preserve"> PAGE </w:instrText>
          </w:r>
          <w:r w:rsidRPr="00040C0F">
            <w:rPr>
              <w:b/>
              <w:bCs/>
            </w:rPr>
            <w:fldChar w:fldCharType="separate"/>
          </w:r>
          <w:r>
            <w:rPr>
              <w:b/>
              <w:bCs/>
            </w:rPr>
            <w:t>1</w:t>
          </w:r>
          <w:r w:rsidRPr="00040C0F">
            <w:rPr>
              <w:b/>
              <w:bCs/>
            </w:rPr>
            <w:fldChar w:fldCharType="end"/>
          </w:r>
          <w:r w:rsidRPr="00040C0F">
            <w:rPr>
              <w:lang w:val="en-US"/>
            </w:rPr>
            <w:t xml:space="preserve"> of </w:t>
          </w:r>
          <w:r w:rsidRPr="00040C0F">
            <w:rPr>
              <w:b/>
              <w:bCs/>
            </w:rPr>
            <w:fldChar w:fldCharType="begin"/>
          </w:r>
          <w:r w:rsidRPr="00040C0F">
            <w:rPr>
              <w:b/>
              <w:bCs/>
              <w:lang w:val="en-US"/>
            </w:rPr>
            <w:instrText xml:space="preserve"> NUMPAGES  </w:instrText>
          </w:r>
          <w:r w:rsidRPr="00040C0F">
            <w:rPr>
              <w:b/>
              <w:bCs/>
            </w:rPr>
            <w:fldChar w:fldCharType="separate"/>
          </w:r>
          <w:r>
            <w:rPr>
              <w:b/>
              <w:bCs/>
            </w:rPr>
            <w:t>1</w:t>
          </w:r>
          <w:r w:rsidRPr="00040C0F">
            <w:rPr>
              <w:b/>
              <w:bCs/>
            </w:rPr>
            <w:fldChar w:fldCharType="end"/>
          </w:r>
        </w:p>
      </w:tc>
    </w:tr>
  </w:tbl>
  <w:p w14:paraId="31D3CAA2" w14:textId="77777777" w:rsidR="009704C2" w:rsidRDefault="009704C2" w:rsidP="009704C2">
    <w:pPr>
      <w:pStyle w:val="Footer"/>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289F9" w14:textId="225CA898" w:rsidR="00040C0F" w:rsidRPr="00040C0F" w:rsidRDefault="00040C0F" w:rsidP="00040C0F">
    <w:pPr>
      <w:pStyle w:val="Footer"/>
      <w:jc w:val="lef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3A9BD1" w14:textId="77777777" w:rsidR="00FD45E9" w:rsidRDefault="00FD45E9" w:rsidP="00804183">
      <w:pPr>
        <w:spacing w:after="0" w:line="240" w:lineRule="auto"/>
      </w:pPr>
      <w:r>
        <w:separator/>
      </w:r>
    </w:p>
  </w:footnote>
  <w:footnote w:type="continuationSeparator" w:id="0">
    <w:p w14:paraId="0566D5C3" w14:textId="77777777" w:rsidR="00FD45E9" w:rsidRDefault="00FD45E9" w:rsidP="008041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70"/>
      <w:gridCol w:w="6754"/>
    </w:tblGrid>
    <w:tr w:rsidR="00501435" w14:paraId="6E4C21A2" w14:textId="77777777" w:rsidTr="00774CBB">
      <w:tc>
        <w:tcPr>
          <w:tcW w:w="2970" w:type="dxa"/>
        </w:tcPr>
        <w:p w14:paraId="47A1BC8D" w14:textId="77777777" w:rsidR="00501435" w:rsidRDefault="00501435" w:rsidP="00501435">
          <w:r>
            <w:rPr>
              <w:noProof/>
            </w:rPr>
            <w:drawing>
              <wp:inline distT="0" distB="0" distL="0" distR="0" wp14:anchorId="79B338A9" wp14:editId="6579AD2B">
                <wp:extent cx="1084578" cy="274320"/>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084578" cy="274320"/>
                        </a:xfrm>
                        <a:prstGeom prst="rect">
                          <a:avLst/>
                        </a:prstGeom>
                      </pic:spPr>
                    </pic:pic>
                  </a:graphicData>
                </a:graphic>
              </wp:inline>
            </w:drawing>
          </w:r>
        </w:p>
      </w:tc>
      <w:tc>
        <w:tcPr>
          <w:tcW w:w="6754" w:type="dxa"/>
          <w:vAlign w:val="bottom"/>
        </w:tcPr>
        <w:p w14:paraId="22CB5A18" w14:textId="77777777" w:rsidR="00501435" w:rsidRPr="00774CBB" w:rsidRDefault="00501435" w:rsidP="00671493">
          <w:pPr>
            <w:pStyle w:val="Header-Title"/>
          </w:pPr>
          <w:r w:rsidRPr="00774CBB">
            <w:rPr>
              <w:color w:val="A7A7A7" w:themeColor="background2"/>
            </w:rPr>
            <w:t xml:space="preserve">SDG-8612 EAA Compliance: </w:t>
          </w:r>
          <w:r w:rsidRPr="00774CBB">
            <w:rPr>
              <w:rStyle w:val="Header-Subtitle"/>
            </w:rPr>
            <w:t>Improvement Summary</w:t>
          </w:r>
        </w:p>
      </w:tc>
    </w:tr>
  </w:tbl>
  <w:p w14:paraId="4D692A74" w14:textId="77777777" w:rsidR="00501435" w:rsidRDefault="00501435" w:rsidP="009704C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700"/>
      <w:gridCol w:w="7024"/>
    </w:tblGrid>
    <w:tr w:rsidR="009704C2" w14:paraId="37E8D9CF" w14:textId="77777777" w:rsidTr="00774CBB">
      <w:tc>
        <w:tcPr>
          <w:tcW w:w="2700" w:type="dxa"/>
        </w:tcPr>
        <w:p w14:paraId="74F699AA" w14:textId="443E96E9" w:rsidR="009704C2" w:rsidRDefault="009704C2" w:rsidP="009704C2">
          <w:r>
            <w:rPr>
              <w:noProof/>
            </w:rPr>
            <w:drawing>
              <wp:inline distT="0" distB="0" distL="0" distR="0" wp14:anchorId="7AF89B62" wp14:editId="2E6DFFDB">
                <wp:extent cx="1482257" cy="374904"/>
                <wp:effectExtent l="0" t="0" r="381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482257" cy="374904"/>
                        </a:xfrm>
                        <a:prstGeom prst="rect">
                          <a:avLst/>
                        </a:prstGeom>
                      </pic:spPr>
                    </pic:pic>
                  </a:graphicData>
                </a:graphic>
              </wp:inline>
            </w:drawing>
          </w:r>
        </w:p>
      </w:tc>
      <w:tc>
        <w:tcPr>
          <w:tcW w:w="7024" w:type="dxa"/>
          <w:vAlign w:val="bottom"/>
        </w:tcPr>
        <w:p w14:paraId="337202F9" w14:textId="78A100B1" w:rsidR="009704C2" w:rsidRPr="006C352F" w:rsidRDefault="009704C2" w:rsidP="009704C2">
          <w:pPr>
            <w:jc w:val="right"/>
          </w:pPr>
        </w:p>
      </w:tc>
    </w:tr>
  </w:tbl>
  <w:p w14:paraId="18E91AF9" w14:textId="53A46CF4" w:rsidR="009704C2" w:rsidRDefault="005065CE" w:rsidP="009704C2">
    <w:r>
      <w:rPr>
        <w:noProof/>
      </w:rPr>
      <w:drawing>
        <wp:anchor distT="0" distB="0" distL="114300" distR="114300" simplePos="0" relativeHeight="251658240" behindDoc="1" locked="0" layoutInCell="1" allowOverlap="1" wp14:anchorId="781D442C" wp14:editId="55DB94BE">
          <wp:simplePos x="0" y="0"/>
          <wp:positionH relativeFrom="page">
            <wp:posOffset>1713865</wp:posOffset>
          </wp:positionH>
          <wp:positionV relativeFrom="paragraph">
            <wp:posOffset>-891348</wp:posOffset>
          </wp:positionV>
          <wp:extent cx="6059132" cy="9144000"/>
          <wp:effectExtent l="0" t="0" r="0" b="0"/>
          <wp:wrapNone/>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6059132" cy="9144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633F68"/>
    <w:multiLevelType w:val="hybridMultilevel"/>
    <w:tmpl w:val="79D41D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CB076EB"/>
    <w:multiLevelType w:val="multilevel"/>
    <w:tmpl w:val="BF943E56"/>
    <w:lvl w:ilvl="0">
      <w:start w:val="1"/>
      <w:numFmt w:val="decimal"/>
      <w:lvlText w:val="%1."/>
      <w:lvlJc w:val="left"/>
      <w:pPr>
        <w:ind w:left="360" w:hanging="360"/>
      </w:pPr>
      <w:rPr>
        <w:rFonts w:hint="default"/>
        <w:b w:val="0"/>
        <w:i w:val="0"/>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3320EF5"/>
    <w:multiLevelType w:val="hybridMultilevel"/>
    <w:tmpl w:val="579C8588"/>
    <w:lvl w:ilvl="0" w:tplc="41AA836E">
      <w:start w:val="1"/>
      <w:numFmt w:val="bullet"/>
      <w:pStyle w:val="ListParagraph"/>
      <w:lvlText w:val=""/>
      <w:lvlJc w:val="left"/>
      <w:pPr>
        <w:ind w:left="720" w:hanging="360"/>
      </w:pPr>
      <w:rPr>
        <w:rFonts w:ascii="Symbol" w:hAnsi="Symbol" w:hint="default"/>
        <w:b w:val="0"/>
        <w:i w:val="0"/>
        <w:color w:val="00C8E6" w:themeColor="accen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D4A7BC6"/>
    <w:multiLevelType w:val="multilevel"/>
    <w:tmpl w:val="FB5233E0"/>
    <w:lvl w:ilvl="0">
      <w:start w:val="1"/>
      <w:numFmt w:val="decimal"/>
      <w:pStyle w:val="Heading1"/>
      <w:lvlText w:val="%1."/>
      <w:lvlJc w:val="left"/>
      <w:pPr>
        <w:ind w:left="360" w:hanging="360"/>
      </w:pPr>
      <w:rPr>
        <w:rFonts w:ascii="Arial" w:hAnsi="Arial" w:hint="default"/>
        <w:b/>
        <w:i w:val="0"/>
        <w:color w:val="auto"/>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422259859">
    <w:abstractNumId w:val="1"/>
  </w:num>
  <w:num w:numId="2" w16cid:durableId="1175414394">
    <w:abstractNumId w:val="0"/>
  </w:num>
  <w:num w:numId="3" w16cid:durableId="255676319">
    <w:abstractNumId w:val="2"/>
  </w:num>
  <w:num w:numId="4" w16cid:durableId="1680039644">
    <w:abstractNumId w:val="3"/>
  </w:num>
  <w:num w:numId="5" w16cid:durableId="1552183338">
    <w:abstractNumId w:val="3"/>
  </w:num>
  <w:num w:numId="6" w16cid:durableId="1290235684">
    <w:abstractNumId w:val="3"/>
  </w:num>
  <w:num w:numId="7" w16cid:durableId="20705718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183"/>
    <w:rsid w:val="00031234"/>
    <w:rsid w:val="00040C0F"/>
    <w:rsid w:val="00043F17"/>
    <w:rsid w:val="00056FDA"/>
    <w:rsid w:val="000855E1"/>
    <w:rsid w:val="000A2174"/>
    <w:rsid w:val="001161A7"/>
    <w:rsid w:val="002975C8"/>
    <w:rsid w:val="003C1FDD"/>
    <w:rsid w:val="00444EB0"/>
    <w:rsid w:val="00467AC9"/>
    <w:rsid w:val="00501435"/>
    <w:rsid w:val="005065CE"/>
    <w:rsid w:val="00532A4D"/>
    <w:rsid w:val="005C2877"/>
    <w:rsid w:val="00622E9A"/>
    <w:rsid w:val="00671493"/>
    <w:rsid w:val="006C352F"/>
    <w:rsid w:val="006C661A"/>
    <w:rsid w:val="00774CBB"/>
    <w:rsid w:val="007C09E2"/>
    <w:rsid w:val="00804183"/>
    <w:rsid w:val="00855465"/>
    <w:rsid w:val="008A059A"/>
    <w:rsid w:val="008D14BA"/>
    <w:rsid w:val="009704C2"/>
    <w:rsid w:val="009766FA"/>
    <w:rsid w:val="00AA0550"/>
    <w:rsid w:val="00B574A4"/>
    <w:rsid w:val="00B7249C"/>
    <w:rsid w:val="00BC4CB9"/>
    <w:rsid w:val="00BD5AFC"/>
    <w:rsid w:val="00D377BB"/>
    <w:rsid w:val="00D66FFD"/>
    <w:rsid w:val="00E0143A"/>
    <w:rsid w:val="00EB3DB0"/>
    <w:rsid w:val="00FC54E7"/>
    <w:rsid w:val="00FD45E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DD7EA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59A"/>
    <w:rPr>
      <w:color w:val="000000" w:themeColor="text1"/>
      <w:sz w:val="20"/>
    </w:rPr>
  </w:style>
  <w:style w:type="paragraph" w:styleId="Heading1">
    <w:name w:val="heading 1"/>
    <w:basedOn w:val="Normal"/>
    <w:next w:val="Normal"/>
    <w:link w:val="Heading1Char"/>
    <w:uiPriority w:val="9"/>
    <w:qFormat/>
    <w:rsid w:val="00BC4CB9"/>
    <w:pPr>
      <w:numPr>
        <w:numId w:val="7"/>
      </w:numPr>
      <w:spacing w:after="80"/>
      <w:outlineLvl w:val="0"/>
    </w:pPr>
    <w:rPr>
      <w:rFonts w:asciiTheme="majorHAnsi" w:hAnsiTheme="majorHAnsi"/>
      <w:b/>
      <w:sz w:val="28"/>
      <w:szCs w:val="28"/>
      <w:lang w:val="en-US"/>
    </w:rPr>
  </w:style>
  <w:style w:type="paragraph" w:styleId="Heading2">
    <w:name w:val="heading 2"/>
    <w:basedOn w:val="Normal"/>
    <w:next w:val="Normal"/>
    <w:link w:val="Heading2Char"/>
    <w:uiPriority w:val="9"/>
    <w:unhideWhenUsed/>
    <w:qFormat/>
    <w:rsid w:val="00BC4CB9"/>
    <w:pPr>
      <w:numPr>
        <w:ilvl w:val="1"/>
        <w:numId w:val="7"/>
      </w:numPr>
      <w:outlineLvl w:val="1"/>
    </w:pPr>
    <w:rPr>
      <w:rFonts w:asciiTheme="majorHAnsi" w:hAnsiTheme="majorHAnsi"/>
      <w:sz w:val="22"/>
      <w:szCs w:val="24"/>
      <w:lang w:val="en-US"/>
    </w:rPr>
  </w:style>
  <w:style w:type="paragraph" w:styleId="Heading3">
    <w:name w:val="heading 3"/>
    <w:basedOn w:val="Heading2"/>
    <w:next w:val="Normal"/>
    <w:link w:val="Heading3Char"/>
    <w:uiPriority w:val="9"/>
    <w:unhideWhenUsed/>
    <w:qFormat/>
    <w:rsid w:val="00BC4CB9"/>
    <w:pPr>
      <w:numPr>
        <w:ilvl w:val="2"/>
      </w:numPr>
      <w:spacing w:after="40"/>
      <w:outlineLvl w:val="2"/>
    </w:pPr>
    <w:rPr>
      <w:bCs/>
      <w:color w:val="006E8C" w:themeColor="accent2"/>
    </w:rPr>
  </w:style>
  <w:style w:type="paragraph" w:styleId="Heading4">
    <w:name w:val="heading 4"/>
    <w:basedOn w:val="Heading3"/>
    <w:next w:val="Normal"/>
    <w:link w:val="Heading4Char"/>
    <w:uiPriority w:val="9"/>
    <w:unhideWhenUsed/>
    <w:qFormat/>
    <w:rsid w:val="00BC4CB9"/>
    <w:pPr>
      <w:keepNext/>
      <w:keepLines/>
      <w:numPr>
        <w:ilvl w:val="3"/>
      </w:numPr>
      <w:spacing w:before="40" w:after="0"/>
      <w:outlineLvl w:val="3"/>
    </w:pPr>
    <w:rPr>
      <w:rFonts w:eastAsiaTheme="majorEastAsia" w:cstheme="majorBidi"/>
      <w:iCs/>
      <w:color w:val="005268" w:themeColor="accent2"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Subtitle">
    <w:name w:val="Header-Subtitle"/>
    <w:basedOn w:val="DefaultParagraphFont"/>
    <w:uiPriority w:val="1"/>
    <w:rsid w:val="00671493"/>
    <w:rPr>
      <w:color w:val="A7A7A7" w:themeColor="background2"/>
    </w:rPr>
  </w:style>
  <w:style w:type="paragraph" w:styleId="Title">
    <w:name w:val="Title"/>
    <w:basedOn w:val="Normal"/>
    <w:next w:val="Normal"/>
    <w:link w:val="TitleChar"/>
    <w:uiPriority w:val="10"/>
    <w:qFormat/>
    <w:rsid w:val="00774CBB"/>
    <w:pPr>
      <w:spacing w:after="40"/>
    </w:pPr>
    <w:rPr>
      <w:b/>
      <w:bCs/>
      <w:color w:val="00C8E6" w:themeColor="accent1"/>
      <w:sz w:val="36"/>
      <w:szCs w:val="36"/>
    </w:rPr>
  </w:style>
  <w:style w:type="paragraph" w:styleId="Footer">
    <w:name w:val="footer"/>
    <w:basedOn w:val="Normal"/>
    <w:link w:val="FooterChar"/>
    <w:uiPriority w:val="99"/>
    <w:unhideWhenUsed/>
    <w:rsid w:val="006C352F"/>
    <w:pPr>
      <w:tabs>
        <w:tab w:val="center" w:pos="4536"/>
        <w:tab w:val="right" w:pos="9072"/>
      </w:tabs>
      <w:spacing w:after="0" w:line="240" w:lineRule="auto"/>
      <w:jc w:val="center"/>
    </w:pPr>
    <w:rPr>
      <w:sz w:val="16"/>
      <w:szCs w:val="16"/>
    </w:rPr>
  </w:style>
  <w:style w:type="character" w:customStyle="1" w:styleId="FooterChar">
    <w:name w:val="Footer Char"/>
    <w:basedOn w:val="DefaultParagraphFont"/>
    <w:link w:val="Footer"/>
    <w:uiPriority w:val="99"/>
    <w:rsid w:val="006C352F"/>
    <w:rPr>
      <w:color w:val="535353" w:themeColor="text2"/>
      <w:sz w:val="16"/>
      <w:szCs w:val="16"/>
    </w:rPr>
  </w:style>
  <w:style w:type="table" w:styleId="TableGrid">
    <w:name w:val="Table Grid"/>
    <w:basedOn w:val="TableNormal"/>
    <w:uiPriority w:val="39"/>
    <w:rsid w:val="00040C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040C0F"/>
    <w:pPr>
      <w:spacing w:after="0" w:line="240" w:lineRule="auto"/>
    </w:pPr>
    <w:tblPr>
      <w:tblStyleRowBandSize w:val="1"/>
      <w:tblStyleColBandSize w:val="1"/>
      <w:tblBorders>
        <w:top w:val="single" w:sz="4" w:space="0" w:color="57E8FF" w:themeColor="accent1" w:themeTint="99"/>
        <w:left w:val="single" w:sz="4" w:space="0" w:color="57E8FF" w:themeColor="accent1" w:themeTint="99"/>
        <w:bottom w:val="single" w:sz="4" w:space="0" w:color="57E8FF" w:themeColor="accent1" w:themeTint="99"/>
        <w:right w:val="single" w:sz="4" w:space="0" w:color="57E8FF" w:themeColor="accent1" w:themeTint="99"/>
        <w:insideH w:val="single" w:sz="4" w:space="0" w:color="57E8FF" w:themeColor="accent1" w:themeTint="99"/>
        <w:insideV w:val="single" w:sz="4" w:space="0" w:color="57E8FF" w:themeColor="accent1" w:themeTint="99"/>
      </w:tblBorders>
    </w:tblPr>
    <w:tblStylePr w:type="firstRow">
      <w:rPr>
        <w:b/>
        <w:bCs/>
        <w:color w:val="FFFFFF" w:themeColor="background1"/>
      </w:rPr>
      <w:tblPr/>
      <w:tcPr>
        <w:tcBorders>
          <w:top w:val="single" w:sz="4" w:space="0" w:color="00C8E6" w:themeColor="accent1"/>
          <w:left w:val="single" w:sz="4" w:space="0" w:color="00C8E6" w:themeColor="accent1"/>
          <w:bottom w:val="single" w:sz="4" w:space="0" w:color="00C8E6" w:themeColor="accent1"/>
          <w:right w:val="single" w:sz="4" w:space="0" w:color="00C8E6" w:themeColor="accent1"/>
          <w:insideH w:val="nil"/>
          <w:insideV w:val="nil"/>
        </w:tcBorders>
        <w:shd w:val="clear" w:color="auto" w:fill="00C8E6" w:themeFill="accent1"/>
      </w:tcPr>
    </w:tblStylePr>
    <w:tblStylePr w:type="lastRow">
      <w:rPr>
        <w:b/>
        <w:bCs/>
      </w:rPr>
      <w:tblPr/>
      <w:tcPr>
        <w:tcBorders>
          <w:top w:val="double" w:sz="4" w:space="0" w:color="00C8E6" w:themeColor="accent1"/>
        </w:tcBorders>
      </w:tcPr>
    </w:tblStylePr>
    <w:tblStylePr w:type="firstCol">
      <w:rPr>
        <w:b/>
        <w:bCs/>
      </w:rPr>
    </w:tblStylePr>
    <w:tblStylePr w:type="lastCol">
      <w:rPr>
        <w:b/>
        <w:bCs/>
      </w:rPr>
    </w:tblStylePr>
    <w:tblStylePr w:type="band1Vert">
      <w:tblPr/>
      <w:tcPr>
        <w:shd w:val="clear" w:color="auto" w:fill="C7F7FF" w:themeFill="accent1" w:themeFillTint="33"/>
      </w:tcPr>
    </w:tblStylePr>
    <w:tblStylePr w:type="band1Horz">
      <w:tblPr/>
      <w:tcPr>
        <w:shd w:val="clear" w:color="auto" w:fill="C7F7FF" w:themeFill="accent1" w:themeFillTint="33"/>
      </w:tcPr>
    </w:tblStylePr>
  </w:style>
  <w:style w:type="paragraph" w:customStyle="1" w:styleId="Tableheader">
    <w:name w:val="Table header"/>
    <w:basedOn w:val="Normal"/>
    <w:qFormat/>
    <w:rsid w:val="008A059A"/>
    <w:pPr>
      <w:spacing w:after="0" w:line="240" w:lineRule="auto"/>
    </w:pPr>
    <w:rPr>
      <w:b/>
      <w:bCs/>
      <w:color w:val="FFFFFF" w:themeColor="background1"/>
      <w:sz w:val="16"/>
      <w:szCs w:val="20"/>
      <w:lang w:val="en-US"/>
    </w:rPr>
  </w:style>
  <w:style w:type="paragraph" w:customStyle="1" w:styleId="Tablebody">
    <w:name w:val="Table body"/>
    <w:basedOn w:val="Normal"/>
    <w:qFormat/>
    <w:rsid w:val="008A059A"/>
    <w:pPr>
      <w:spacing w:after="0" w:line="240" w:lineRule="auto"/>
    </w:pPr>
    <w:rPr>
      <w:sz w:val="16"/>
      <w:szCs w:val="20"/>
      <w:lang w:val="en-US"/>
    </w:rPr>
  </w:style>
  <w:style w:type="paragraph" w:customStyle="1" w:styleId="Subheader">
    <w:name w:val="Subheader"/>
    <w:basedOn w:val="Normal"/>
    <w:rsid w:val="008D14BA"/>
    <w:pPr>
      <w:spacing w:after="240"/>
    </w:pPr>
    <w:rPr>
      <w:color w:val="006E8C" w:themeColor="accent2"/>
      <w:sz w:val="32"/>
      <w:szCs w:val="32"/>
      <w:lang w:val="en-US"/>
    </w:rPr>
  </w:style>
  <w:style w:type="character" w:customStyle="1" w:styleId="Heading1Char">
    <w:name w:val="Heading 1 Char"/>
    <w:basedOn w:val="DefaultParagraphFont"/>
    <w:link w:val="Heading1"/>
    <w:uiPriority w:val="9"/>
    <w:rsid w:val="00BC4CB9"/>
    <w:rPr>
      <w:rFonts w:asciiTheme="majorHAnsi" w:hAnsiTheme="majorHAnsi"/>
      <w:b/>
      <w:color w:val="000000" w:themeColor="text1"/>
      <w:sz w:val="28"/>
      <w:szCs w:val="28"/>
      <w:lang w:val="en-US"/>
    </w:rPr>
  </w:style>
  <w:style w:type="character" w:customStyle="1" w:styleId="Heading2Char">
    <w:name w:val="Heading 2 Char"/>
    <w:basedOn w:val="DefaultParagraphFont"/>
    <w:link w:val="Heading2"/>
    <w:uiPriority w:val="9"/>
    <w:rsid w:val="00BC4CB9"/>
    <w:rPr>
      <w:rFonts w:asciiTheme="majorHAnsi" w:hAnsiTheme="majorHAnsi"/>
      <w:color w:val="000000" w:themeColor="text1"/>
      <w:szCs w:val="24"/>
      <w:lang w:val="en-US"/>
    </w:rPr>
  </w:style>
  <w:style w:type="paragraph" w:styleId="ListParagraph">
    <w:name w:val="List Paragraph"/>
    <w:basedOn w:val="Normal"/>
    <w:uiPriority w:val="34"/>
    <w:rsid w:val="00855465"/>
    <w:pPr>
      <w:numPr>
        <w:numId w:val="3"/>
      </w:numPr>
      <w:contextualSpacing/>
    </w:pPr>
  </w:style>
  <w:style w:type="paragraph" w:customStyle="1" w:styleId="Bullets">
    <w:name w:val="Bullets"/>
    <w:basedOn w:val="ListParagraph"/>
    <w:qFormat/>
    <w:rsid w:val="00855465"/>
    <w:pPr>
      <w:ind w:left="360"/>
    </w:pPr>
    <w:rPr>
      <w:lang w:val="en-US"/>
    </w:rPr>
  </w:style>
  <w:style w:type="paragraph" w:styleId="TOCHeading">
    <w:name w:val="TOC Heading"/>
    <w:next w:val="Normal"/>
    <w:uiPriority w:val="39"/>
    <w:unhideWhenUsed/>
    <w:rsid w:val="00BC4CB9"/>
    <w:pPr>
      <w:keepNext/>
      <w:keepLines/>
      <w:spacing w:before="240" w:after="0"/>
    </w:pPr>
    <w:rPr>
      <w:rFonts w:asciiTheme="majorHAnsi" w:eastAsiaTheme="majorEastAsia" w:hAnsiTheme="majorHAnsi" w:cstheme="majorBidi"/>
      <w:color w:val="0095AC" w:themeColor="accent1" w:themeShade="BF"/>
      <w:sz w:val="32"/>
      <w:szCs w:val="32"/>
      <w:lang w:val="en-US"/>
    </w:rPr>
  </w:style>
  <w:style w:type="paragraph" w:styleId="TOC1">
    <w:name w:val="toc 1"/>
    <w:basedOn w:val="Normal"/>
    <w:next w:val="Normal"/>
    <w:autoRedefine/>
    <w:uiPriority w:val="39"/>
    <w:unhideWhenUsed/>
    <w:rsid w:val="00BC4CB9"/>
    <w:pPr>
      <w:spacing w:after="100"/>
    </w:pPr>
    <w:rPr>
      <w:b/>
    </w:rPr>
  </w:style>
  <w:style w:type="paragraph" w:styleId="TOC2">
    <w:name w:val="toc 2"/>
    <w:basedOn w:val="Normal"/>
    <w:next w:val="Normal"/>
    <w:autoRedefine/>
    <w:uiPriority w:val="39"/>
    <w:unhideWhenUsed/>
    <w:rsid w:val="00BC4CB9"/>
    <w:pPr>
      <w:tabs>
        <w:tab w:val="left" w:pos="540"/>
        <w:tab w:val="right" w:leader="dot" w:pos="9724"/>
      </w:tabs>
      <w:spacing w:after="100"/>
    </w:pPr>
    <w:rPr>
      <w:noProof/>
    </w:rPr>
  </w:style>
  <w:style w:type="character" w:styleId="Hyperlink">
    <w:name w:val="Hyperlink"/>
    <w:basedOn w:val="DefaultParagraphFont"/>
    <w:uiPriority w:val="99"/>
    <w:unhideWhenUsed/>
    <w:rsid w:val="009766FA"/>
    <w:rPr>
      <w:color w:val="0000FF" w:themeColor="hyperlink"/>
      <w:u w:val="single"/>
    </w:rPr>
  </w:style>
  <w:style w:type="character" w:customStyle="1" w:styleId="Heading3Char">
    <w:name w:val="Heading 3 Char"/>
    <w:basedOn w:val="DefaultParagraphFont"/>
    <w:link w:val="Heading3"/>
    <w:uiPriority w:val="9"/>
    <w:rsid w:val="00BC4CB9"/>
    <w:rPr>
      <w:rFonts w:asciiTheme="majorHAnsi" w:hAnsiTheme="majorHAnsi"/>
      <w:bCs/>
      <w:color w:val="006E8C" w:themeColor="accent2"/>
      <w:szCs w:val="24"/>
      <w:lang w:val="en-US"/>
    </w:rPr>
  </w:style>
  <w:style w:type="character" w:customStyle="1" w:styleId="Bold">
    <w:name w:val="Bold"/>
    <w:basedOn w:val="DefaultParagraphFont"/>
    <w:uiPriority w:val="1"/>
    <w:qFormat/>
    <w:rsid w:val="008A059A"/>
    <w:rPr>
      <w:b/>
      <w:bCs/>
      <w:color w:val="000000" w:themeColor="text1"/>
      <w:lang w:val="en-US"/>
    </w:rPr>
  </w:style>
  <w:style w:type="paragraph" w:customStyle="1" w:styleId="Title-Header">
    <w:name w:val="Title-Header"/>
    <w:basedOn w:val="Normal"/>
    <w:rsid w:val="00671493"/>
    <w:pPr>
      <w:spacing w:after="120" w:line="240" w:lineRule="auto"/>
      <w:jc w:val="right"/>
    </w:pPr>
    <w:rPr>
      <w:rFonts w:ascii="Arial" w:hAnsi="Arial" w:cs="Arial"/>
      <w:bCs/>
      <w:sz w:val="32"/>
      <w:szCs w:val="32"/>
      <w:lang w:val="en-US"/>
    </w:rPr>
  </w:style>
  <w:style w:type="paragraph" w:customStyle="1" w:styleId="Header-Title">
    <w:name w:val="Header-Title"/>
    <w:basedOn w:val="Title-Header"/>
    <w:rsid w:val="00671493"/>
  </w:style>
  <w:style w:type="character" w:customStyle="1" w:styleId="TitleChar">
    <w:name w:val="Title Char"/>
    <w:basedOn w:val="DefaultParagraphFont"/>
    <w:link w:val="Title"/>
    <w:uiPriority w:val="10"/>
    <w:rsid w:val="00774CBB"/>
    <w:rPr>
      <w:b/>
      <w:bCs/>
      <w:color w:val="00C8E6" w:themeColor="accent1"/>
      <w:sz w:val="36"/>
      <w:szCs w:val="36"/>
    </w:rPr>
  </w:style>
  <w:style w:type="paragraph" w:styleId="TOC3">
    <w:name w:val="toc 3"/>
    <w:basedOn w:val="Normal"/>
    <w:next w:val="Normal"/>
    <w:autoRedefine/>
    <w:uiPriority w:val="39"/>
    <w:unhideWhenUsed/>
    <w:rsid w:val="00BC4CB9"/>
    <w:pPr>
      <w:spacing w:after="100"/>
      <w:ind w:left="400"/>
    </w:pPr>
    <w:rPr>
      <w:color w:val="006E8C" w:themeColor="accent2"/>
    </w:rPr>
  </w:style>
  <w:style w:type="paragraph" w:styleId="Subtitle">
    <w:name w:val="Subtitle"/>
    <w:basedOn w:val="Subheader"/>
    <w:next w:val="Normal"/>
    <w:link w:val="SubtitleChar"/>
    <w:uiPriority w:val="11"/>
    <w:qFormat/>
    <w:rsid w:val="00774CBB"/>
  </w:style>
  <w:style w:type="character" w:customStyle="1" w:styleId="SubtitleChar">
    <w:name w:val="Subtitle Char"/>
    <w:basedOn w:val="DefaultParagraphFont"/>
    <w:link w:val="Subtitle"/>
    <w:uiPriority w:val="11"/>
    <w:rsid w:val="00774CBB"/>
    <w:rPr>
      <w:color w:val="006E8C" w:themeColor="accent2"/>
      <w:sz w:val="32"/>
      <w:szCs w:val="32"/>
      <w:lang w:val="en-US"/>
    </w:rPr>
  </w:style>
  <w:style w:type="paragraph" w:styleId="Header">
    <w:name w:val="header"/>
    <w:basedOn w:val="Normal"/>
    <w:link w:val="HeaderChar"/>
    <w:uiPriority w:val="99"/>
    <w:unhideWhenUsed/>
    <w:rsid w:val="00774CBB"/>
    <w:pPr>
      <w:tabs>
        <w:tab w:val="center" w:pos="4536"/>
        <w:tab w:val="right" w:pos="9072"/>
      </w:tabs>
      <w:spacing w:after="0" w:line="240" w:lineRule="auto"/>
    </w:pPr>
  </w:style>
  <w:style w:type="character" w:customStyle="1" w:styleId="HeaderChar">
    <w:name w:val="Header Char"/>
    <w:basedOn w:val="DefaultParagraphFont"/>
    <w:link w:val="Header"/>
    <w:uiPriority w:val="99"/>
    <w:rsid w:val="00774CBB"/>
    <w:rPr>
      <w:color w:val="535353" w:themeColor="text2"/>
      <w:sz w:val="20"/>
    </w:rPr>
  </w:style>
  <w:style w:type="paragraph" w:customStyle="1" w:styleId="Cover-header">
    <w:name w:val="Cover-header"/>
    <w:basedOn w:val="Normal"/>
    <w:qFormat/>
    <w:rsid w:val="00622E9A"/>
    <w:pPr>
      <w:spacing w:before="2400"/>
      <w:jc w:val="center"/>
    </w:pPr>
    <w:rPr>
      <w:b/>
      <w:bCs/>
      <w:color w:val="00C8E6" w:themeColor="accent1"/>
      <w:sz w:val="84"/>
      <w:szCs w:val="84"/>
      <w:lang w:val="en-US"/>
    </w:rPr>
  </w:style>
  <w:style w:type="paragraph" w:customStyle="1" w:styleId="Cover-Subheader">
    <w:name w:val="Cover-Subheader"/>
    <w:basedOn w:val="Normal"/>
    <w:qFormat/>
    <w:rsid w:val="00622E9A"/>
    <w:pPr>
      <w:spacing w:before="240"/>
      <w:jc w:val="center"/>
    </w:pPr>
    <w:rPr>
      <w:sz w:val="56"/>
      <w:szCs w:val="56"/>
      <w:lang w:val="en-US"/>
    </w:rPr>
  </w:style>
  <w:style w:type="character" w:customStyle="1" w:styleId="Cyan">
    <w:name w:val="Cyan"/>
    <w:basedOn w:val="DefaultParagraphFont"/>
    <w:uiPriority w:val="1"/>
    <w:qFormat/>
    <w:rsid w:val="00622E9A"/>
    <w:rPr>
      <w:color w:val="00C8E6" w:themeColor="accent1"/>
      <w:lang w:val="en-US"/>
    </w:rPr>
  </w:style>
  <w:style w:type="table" w:customStyle="1" w:styleId="Adtran">
    <w:name w:val="Adtran"/>
    <w:basedOn w:val="TableNormal"/>
    <w:uiPriority w:val="99"/>
    <w:rsid w:val="008A059A"/>
    <w:pPr>
      <w:spacing w:after="0" w:line="240" w:lineRule="auto"/>
    </w:pPr>
    <w:rPr>
      <w:sz w:val="16"/>
    </w:rPr>
    <w:tblPr>
      <w:tblBorders>
        <w:top w:val="single" w:sz="4" w:space="0" w:color="DBDBDB" w:themeColor="background2" w:themeTint="66"/>
        <w:left w:val="single" w:sz="4" w:space="0" w:color="DBDBDB" w:themeColor="background2" w:themeTint="66"/>
        <w:bottom w:val="single" w:sz="4" w:space="0" w:color="DBDBDB" w:themeColor="background2" w:themeTint="66"/>
        <w:right w:val="single" w:sz="4" w:space="0" w:color="DBDBDB" w:themeColor="background2" w:themeTint="66"/>
        <w:insideH w:val="single" w:sz="4" w:space="0" w:color="DBDBDB" w:themeColor="background2" w:themeTint="66"/>
        <w:insideV w:val="single" w:sz="4" w:space="0" w:color="DBDBDB" w:themeColor="background2" w:themeTint="66"/>
      </w:tblBorders>
    </w:tblPr>
    <w:tcPr>
      <w:shd w:val="clear" w:color="auto" w:fill="auto"/>
      <w:vAlign w:val="center"/>
    </w:tcPr>
    <w:tblStylePr w:type="firstRow">
      <w:rPr>
        <w:rFonts w:ascii="Arial" w:hAnsi="Arial"/>
        <w:b/>
        <w:color w:val="FFFFFF" w:themeColor="background1"/>
      </w:rPr>
      <w:tblPr/>
      <w:tcPr>
        <w:tcBorders>
          <w:top w:val="single" w:sz="4" w:space="0" w:color="DBDBDB" w:themeColor="background2" w:themeTint="66"/>
          <w:left w:val="single" w:sz="4" w:space="0" w:color="DBDBDB" w:themeColor="background2" w:themeTint="66"/>
          <w:bottom w:val="single" w:sz="4" w:space="0" w:color="DBDBDB" w:themeColor="background2" w:themeTint="66"/>
          <w:right w:val="single" w:sz="4" w:space="0" w:color="DBDBDB" w:themeColor="background2" w:themeTint="66"/>
          <w:insideH w:val="single" w:sz="4" w:space="0" w:color="DBDBDB" w:themeColor="background2" w:themeTint="66"/>
          <w:insideV w:val="single" w:sz="4" w:space="0" w:color="DBDBDB" w:themeColor="background2" w:themeTint="66"/>
          <w:tl2br w:val="nil"/>
          <w:tr2bl w:val="nil"/>
        </w:tcBorders>
        <w:shd w:val="clear" w:color="auto" w:fill="000000" w:themeFill="text1"/>
      </w:tcPr>
    </w:tblStylePr>
    <w:tblStylePr w:type="firstCol">
      <w:tblPr/>
      <w:tcPr>
        <w:shd w:val="clear" w:color="auto" w:fill="EDEDED" w:themeFill="background2" w:themeFillTint="33"/>
      </w:tcPr>
    </w:tblStylePr>
  </w:style>
  <w:style w:type="character" w:customStyle="1" w:styleId="Heading4Char">
    <w:name w:val="Heading 4 Char"/>
    <w:basedOn w:val="DefaultParagraphFont"/>
    <w:link w:val="Heading4"/>
    <w:uiPriority w:val="9"/>
    <w:rsid w:val="00BC4CB9"/>
    <w:rPr>
      <w:rFonts w:asciiTheme="majorHAnsi" w:eastAsiaTheme="majorEastAsia" w:hAnsiTheme="majorHAnsi" w:cstheme="majorBidi"/>
      <w:bCs/>
      <w:iCs/>
      <w:color w:val="005268" w:themeColor="accent2" w:themeShade="BF"/>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Relationships xmlns="http://schemas.openxmlformats.org/package/2006/relationships"><Relationship Id="rId1" Type="http://schemas.openxmlformats.org/officeDocument/2006/relationships/image" Target="media/image1.emf"/></Relationships>
</file>

<file path=word/_rels/header2.xml.rels><?xml version="1.0" encoding="UTF-8"?><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Adtran">
      <a:dk1>
        <a:srgbClr val="000000"/>
      </a:dk1>
      <a:lt1>
        <a:srgbClr val="FFFFFF"/>
      </a:lt1>
      <a:dk2>
        <a:srgbClr val="535353"/>
      </a:dk2>
      <a:lt2>
        <a:srgbClr val="A7A7A7"/>
      </a:lt2>
      <a:accent1>
        <a:srgbClr val="00C8E6"/>
      </a:accent1>
      <a:accent2>
        <a:srgbClr val="006E8C"/>
      </a:accent2>
      <a:accent3>
        <a:srgbClr val="02434F"/>
      </a:accent3>
      <a:accent4>
        <a:srgbClr val="00A0C8"/>
      </a:accent4>
      <a:accent5>
        <a:srgbClr val="3264F0"/>
      </a:accent5>
      <a:accent6>
        <a:srgbClr val="FF7878"/>
      </a:accent6>
      <a:hlink>
        <a:srgbClr val="0000FF"/>
      </a:hlink>
      <a:folHlink>
        <a:srgbClr val="FF00FF"/>
      </a:folHlink>
    </a:clrScheme>
    <a:fontScheme name="Adtra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humbnail xmlns="97f35f18-ae73-4b2b-9780-1d7db94c41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A3485FCAD5C3349A2A7441C9FC9A2DD" ma:contentTypeVersion="3" ma:contentTypeDescription="Create a new document." ma:contentTypeScope="" ma:versionID="4c81b95dfc8dfe6baed7098fcc8df054">
  <xsd:schema xmlns:xsd="http://www.w3.org/2001/XMLSchema" xmlns:xs="http://www.w3.org/2001/XMLSchema" xmlns:p="http://schemas.microsoft.com/office/2006/metadata/properties" xmlns:ns2="97f35f18-ae73-4b2b-9780-1d7db94c41d3" targetNamespace="http://schemas.microsoft.com/office/2006/metadata/properties" ma:root="true" ma:fieldsID="737a00ff1e13cf030166c14f2b970974" ns2:_="">
    <xsd:import namespace="97f35f18-ae73-4b2b-9780-1d7db94c41d3"/>
    <xsd:element name="properties">
      <xsd:complexType>
        <xsd:sequence>
          <xsd:element name="documentManagement">
            <xsd:complexType>
              <xsd:all>
                <xsd:element ref="ns2:Thumbnail"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f35f18-ae73-4b2b-9780-1d7db94c41d3" elementFormDefault="qualified">
    <xsd:import namespace="http://schemas.microsoft.com/office/2006/documentManagement/types"/>
    <xsd:import namespace="http://schemas.microsoft.com/office/infopath/2007/PartnerControls"/>
    <xsd:element name="Thumbnail" ma:index="8" nillable="true" ma:displayName="Preview" ma:format="Thumbnail" ma:internalName="Thumbnail">
      <xsd:simpleType>
        <xsd:restriction base="dms:Unknow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C9EA18-E03D-452E-83D8-C795F70AA218}">
  <ds:schemaRefs>
    <ds:schemaRef ds:uri="http://schemas.microsoft.com/office/2006/metadata/properties"/>
    <ds:schemaRef ds:uri="http://schemas.microsoft.com/office/infopath/2007/PartnerControls"/>
    <ds:schemaRef ds:uri="97f35f18-ae73-4b2b-9780-1d7db94c41d3"/>
  </ds:schemaRefs>
</ds:datastoreItem>
</file>

<file path=customXml/itemProps2.xml><?xml version="1.0" encoding="utf-8"?>
<ds:datastoreItem xmlns:ds="http://schemas.openxmlformats.org/officeDocument/2006/customXml" ds:itemID="{59D373D2-3DC4-4B22-AB75-783A6E182B2F}">
  <ds:schemaRefs>
    <ds:schemaRef ds:uri="http://schemas.microsoft.com/sharepoint/v3/contenttype/forms"/>
  </ds:schemaRefs>
</ds:datastoreItem>
</file>

<file path=customXml/itemProps3.xml><?xml version="1.0" encoding="utf-8"?>
<ds:datastoreItem xmlns:ds="http://schemas.openxmlformats.org/officeDocument/2006/customXml" ds:itemID="{14B46753-8FB1-4638-8512-120495A485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f35f18-ae73-4b2b-9780-1d7db94c41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4FDD750-02FA-4883-9B63-56CEA6313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Adtran_Template.dotx</Template>
  <TotalTime>0</TotalTime>
  <Pages>3</Pages>
  <Words>498</Words>
  <Characters>2337</Characters>
  <Application>Microsoft Office Word</Application>
  <DocSecurity>0</DocSecurity>
  <Lines>75</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Bastanier</dc:creator>
  <cp:keywords/>
  <dc:description/>
  <cp:lastModifiedBy>Ruth Bastanier</cp:lastModifiedBy>
  <cp:revision>7</cp:revision>
  <dcterms:created xsi:type="dcterms:W3CDTF">2023-01-03T07:21:00Z</dcterms:created>
  <dcterms:modified xsi:type="dcterms:W3CDTF">2023-07-06T07:45:00Z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5cd950d-e56c-4fac-9b5d-f93b4eb7dc20_Enabled">
    <vt:lpwstr>true</vt:lpwstr>
  </property>
  <property fmtid="{D5CDD505-2E9C-101B-9397-08002B2CF9AE}" pid="3" name="MSIP_Label_e5cd950d-e56c-4fac-9b5d-f93b4eb7dc20_SetDate">
    <vt:lpwstr>2022-12-28T16:03:45Z</vt:lpwstr>
  </property>
  <property fmtid="{D5CDD505-2E9C-101B-9397-08002B2CF9AE}" pid="4" name="MSIP_Label_e5cd950d-e56c-4fac-9b5d-f93b4eb7dc20_Method">
    <vt:lpwstr>Privileged</vt:lpwstr>
  </property>
  <property fmtid="{D5CDD505-2E9C-101B-9397-08002B2CF9AE}" pid="5" name="MSIP_Label_e5cd950d-e56c-4fac-9b5d-f93b4eb7dc20_Name">
    <vt:lpwstr>ADVA_Public</vt:lpwstr>
  </property>
  <property fmtid="{D5CDD505-2E9C-101B-9397-08002B2CF9AE}" pid="6" name="MSIP_Label_e5cd950d-e56c-4fac-9b5d-f93b4eb7dc20_SiteId">
    <vt:lpwstr>522fc9ff-aca0-4d49-8e36-d13332e34662</vt:lpwstr>
  </property>
  <property fmtid="{D5CDD505-2E9C-101B-9397-08002B2CF9AE}" pid="7" name="MSIP_Label_e5cd950d-e56c-4fac-9b5d-f93b4eb7dc20_ActionId">
    <vt:lpwstr>b20c1d68-923b-4210-86fd-cc26a8e9600e</vt:lpwstr>
  </property>
  <property fmtid="{D5CDD505-2E9C-101B-9397-08002B2CF9AE}" pid="8" name="MSIP_Label_e5cd950d-e56c-4fac-9b5d-f93b4eb7dc20_ContentBits">
    <vt:lpwstr>0</vt:lpwstr>
  </property>
  <property fmtid="{D5CDD505-2E9C-101B-9397-08002B2CF9AE}" pid="9" name="ContentTypeId">
    <vt:lpwstr>0x0101003A3485FCAD5C3349A2A7441C9FC9A2DD</vt:lpwstr>
  </property>
  <property fmtid="{D5CDD505-2E9C-101B-9397-08002B2CF9AE}" pid="10" name="GrammarlyDocumentId">
    <vt:lpwstr>c61f25e4ba16fdb4d4b7654ca1debcb092c5399345cfadcc3f3d6514d7e1c744</vt:lpwstr>
  </property>
</Properties>
</file>