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Let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 xml:space="preserve">now conſider the evidence of teſtimony for the authenticity of the Old Teſtament. As the Jews were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more ancient people than the Greeks or Ro</w:t>
        <w:softHyphen/>
        <w:t>mans, and for many ages totally unconnected with them, it is not to be expected that we ſhould derive much evidence from the hiſtorians of thoſe nations: it is to the Jews alone we muſt look for information. But it has unfortunately happened that few of their works ex</w:t>
        <w:softHyphen/>
        <w:t xml:space="preserve">cept the Scriptures themſelves have been preſerved to poſterity. Joſephus is the moſt ancient of the Jewiſh hiſtorians to whom we can appeal. He informs us, that the Old Teſtament was divided into three parts, the Law, the Prophets,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Hagiographa </w:t>
      </w:r>
      <w:r>
        <w:rPr>
          <w:rFonts w:ascii="Times New Roman" w:eastAsia="Times New Roman" w:hAnsi="Times New Roman" w:cs="Times New Roman"/>
          <w:color w:val="000000"/>
          <w:spacing w:val="0"/>
          <w:w w:val="100"/>
          <w:position w:val="0"/>
          <w:shd w:val="clear" w:color="auto" w:fill="auto"/>
          <w:lang w:val="en-US" w:eastAsia="en-US" w:bidi="en-US"/>
        </w:rPr>
        <w:t xml:space="preserve">or poetical books. No man, ſays he, hath ever dared to add or take away from them. He tells us alſo, that other books were written after the time of </w:t>
      </w:r>
      <w:r>
        <w:rPr>
          <w:rFonts w:ascii="Times New Roman" w:eastAsia="Times New Roman" w:hAnsi="Times New Roman" w:cs="Times New Roman"/>
          <w:color w:val="000000"/>
          <w:spacing w:val="0"/>
          <w:w w:val="100"/>
          <w:position w:val="0"/>
          <w:shd w:val="clear" w:color="auto" w:fill="auto"/>
          <w:lang w:val="la-001" w:eastAsia="la-001" w:bidi="la-001"/>
        </w:rPr>
        <w:t>Artaxerxes</w:t>
      </w:r>
      <w:r>
        <w:rPr>
          <w:rFonts w:ascii="Times New Roman" w:eastAsia="Times New Roman" w:hAnsi="Times New Roman" w:cs="Times New Roman"/>
          <w:color w:val="000000"/>
          <w:spacing w:val="0"/>
          <w:w w:val="100"/>
          <w:position w:val="0"/>
          <w:shd w:val="clear" w:color="auto" w:fill="auto"/>
          <w:lang w:val="en-US" w:eastAsia="en-US" w:bidi="en-US"/>
        </w:rPr>
        <w:t>; but as they were not compoſed by prophets, they were not reckoned worthy of the ſame credit.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promulgation of the Chriſtian religion, it is impoſſible that any material alterations or corruptions could have taken place in the books of the Old Teſtament; for they have been in the hands both of Jews and Chriſtians from that period. Had the Jews at</w:t>
        <w:softHyphen/>
        <w:t>tempted to make any alterations, the Chriſtians would have detected and expoſed them; nor would the Jews have been leſs ſevere againſt the Chriſtians if they had corrupted the ſacred text. But the copies in the hands of Jews and Chriſtians agree; and therefore we juſtly conclude, that the Old Teſtament is ſtill pure and un</w:t>
        <w:softHyphen/>
        <w:t>corrupted.</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diviſion mentioned by our Saviour into the Law, the Prophets, and the Pſalms, correſponds with that of Joſephus. We have therefore ſufficient evidence, it is hoped, to convince even a deiſt, that the Old Teſtament exiſted at that time. And if the deiſt will only allow, that Jeſus Chriſt was a perſonage of a virtuous and ir</w:t>
        <w:softHyphen/>
        <w:t>reproachable character, he will acknowledge that we draw a fair concluſion when we aſſert that the Scrip</w:t>
        <w:softHyphen/>
        <w:t>tures were not corrupted in his time: for wſhen he accuſed the Phariſees of making the law of no effect by their traditions, and when he injoined his hearers to ſearch the Scriptures, he could not have failed to men</w:t>
        <w:softHyphen/>
        <w:t>tion the corruptions or forgeries of Scripture, if any in that age had exiſted. But we are aſſured, by very re</w:t>
        <w:softHyphen/>
        <w:t>spectable authority, that the canon of the Old Teſta</w:t>
        <w:softHyphen/>
        <w:t>ment was fixed ſome centuries before the birth of Jeſus Chriſt. Jeſus the ſon of Sirach, the author of Eccle</w:t>
        <w:softHyphen/>
        <w:t>ſiaſticus, makes evident references to the prophecies of Iſaiah @@*, Jeremiah@@†, and Ezekiel@@‡, and mentions theſe prophets by name. He ſpeaks alſo of the twelve minor prophets @@A. It appears alſo from the prologue, that the law and the prophets, and other ancient books, ex</w:t>
        <w:softHyphen/>
        <w:t>iſted at the ſame period. The book of Eccleſiaſticus, according to the calculations of the beſt chronologers, was written in Syriac about A. M. 3772, that is, 232 years before the Chriſtian era, and was tranſlated into Greek in the next century by the grandſon of the au</w:t>
        <w:softHyphen/>
        <w:t xml:space="preserve">thor. The prologue was added by the tranſlator: but this circumſtance does not diminiſh the evidence for the antiquity of Scripture; for he informs us, that the law and the prophets, and the other books of their fathers, were ſtudied by his grandfather: a ſufficient proof that they exiſted in his time. As no authentic books of a </w:t>
      </w:r>
      <w:r>
        <w:rPr>
          <w:rFonts w:ascii="Times New Roman" w:eastAsia="Times New Roman" w:hAnsi="Times New Roman" w:cs="Times New Roman"/>
          <w:color w:val="000000"/>
          <w:spacing w:val="0"/>
          <w:w w:val="100"/>
          <w:position w:val="0"/>
          <w:sz w:val="20"/>
          <w:szCs w:val="20"/>
          <w:shd w:val="clear" w:color="auto" w:fill="auto"/>
          <w:lang w:val="en-US" w:eastAsia="en-US" w:bidi="en-US"/>
        </w:rPr>
        <w:t>more ancient date, except the ſacred writings them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ſelves, have reached our time, </w:t>
      </w:r>
      <w:r>
        <w:rPr>
          <w:rFonts w:ascii="Times New Roman" w:eastAsia="Times New Roman" w:hAnsi="Times New Roman" w:cs="Times New Roman"/>
          <w:color w:val="6B5E56"/>
          <w:spacing w:val="0"/>
          <w:w w:val="100"/>
          <w:position w:val="0"/>
          <w:sz w:val="18"/>
          <w:szCs w:val="18"/>
          <w:shd w:val="clear" w:color="auto" w:fill="auto"/>
          <w:lang w:val="en-US" w:eastAsia="en-US" w:bidi="en-US"/>
        </w:rPr>
        <w:t xml:space="preserve">we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can aſcend no </w:t>
      </w:r>
      <w:r>
        <w:rPr>
          <w:rFonts w:ascii="Times New Roman" w:eastAsia="Times New Roman" w:hAnsi="Times New Roman" w:cs="Times New Roman"/>
          <w:color w:val="6B5E56"/>
          <w:spacing w:val="0"/>
          <w:w w:val="100"/>
          <w:position w:val="0"/>
          <w:sz w:val="18"/>
          <w:szCs w:val="18"/>
          <w:shd w:val="clear" w:color="auto" w:fill="auto"/>
          <w:lang w:val="en-US" w:eastAsia="en-US" w:bidi="en-US"/>
        </w:rPr>
        <w:t xml:space="preserve">higher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ſearch of teſtimony.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however, one remarkable </w:t>
      </w:r>
      <w:r>
        <w:rPr>
          <w:rFonts w:ascii="Times New Roman" w:eastAsia="Times New Roman" w:hAnsi="Times New Roman" w:cs="Times New Roman"/>
          <w:color w:val="6B5E56"/>
          <w:spacing w:val="0"/>
          <w:w w:val="100"/>
          <w:position w:val="0"/>
          <w:shd w:val="clear" w:color="auto" w:fill="auto"/>
          <w:lang w:val="en-US" w:eastAsia="en-US" w:bidi="en-US"/>
        </w:rPr>
        <w:t xml:space="preserve">hiſtorical fact,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6B5E56"/>
          <w:spacing w:val="0"/>
          <w:w w:val="100"/>
          <w:position w:val="0"/>
          <w:shd w:val="clear" w:color="auto" w:fill="auto"/>
          <w:lang w:val="en-US" w:eastAsia="en-US" w:bidi="en-US"/>
        </w:rPr>
        <w:t xml:space="preserve">proves </w:t>
      </w:r>
      <w:r>
        <w:rPr>
          <w:rFonts w:ascii="Times New Roman" w:eastAsia="Times New Roman" w:hAnsi="Times New Roman" w:cs="Times New Roman"/>
          <w:color w:val="000000"/>
          <w:spacing w:val="0"/>
          <w:w w:val="100"/>
          <w:position w:val="0"/>
          <w:shd w:val="clear" w:color="auto" w:fill="auto"/>
          <w:lang w:val="en-US" w:eastAsia="en-US" w:bidi="en-US"/>
        </w:rPr>
        <w:t xml:space="preserve">the exiſtence of the law of </w:t>
      </w:r>
      <w:r>
        <w:rPr>
          <w:rFonts w:ascii="Times New Roman" w:eastAsia="Times New Roman" w:hAnsi="Times New Roman" w:cs="Times New Roman"/>
          <w:color w:val="6B5E56"/>
          <w:spacing w:val="0"/>
          <w:w w:val="100"/>
          <w:position w:val="0"/>
          <w:shd w:val="clear" w:color="auto" w:fill="auto"/>
          <w:lang w:val="en-US" w:eastAsia="en-US" w:bidi="en-US"/>
        </w:rPr>
        <w:t xml:space="preserve">Moſes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6B5E5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diſſolution of the kingdom of Iſrael, when </w:t>
      </w:r>
      <w:r>
        <w:rPr>
          <w:rFonts w:ascii="Times New Roman" w:eastAsia="Times New Roman" w:hAnsi="Times New Roman" w:cs="Times New Roman"/>
          <w:color w:val="6B5E56"/>
          <w:spacing w:val="0"/>
          <w:w w:val="100"/>
          <w:position w:val="0"/>
          <w:shd w:val="clear" w:color="auto" w:fill="auto"/>
          <w:lang w:val="en-US" w:eastAsia="en-US" w:bidi="en-US"/>
        </w:rPr>
        <w:t xml:space="preserve">the ten tribes </w:t>
      </w:r>
      <w:r>
        <w:rPr>
          <w:rFonts w:ascii="Times New Roman" w:eastAsia="Times New Roman" w:hAnsi="Times New Roman" w:cs="Times New Roman"/>
          <w:color w:val="000000"/>
          <w:spacing w:val="0"/>
          <w:w w:val="100"/>
          <w:position w:val="0"/>
          <w:shd w:val="clear" w:color="auto" w:fill="auto"/>
          <w:lang w:val="en-US" w:eastAsia="en-US" w:bidi="en-US"/>
        </w:rPr>
        <w:t xml:space="preserve">were carried captive to Aſſyria by </w:t>
      </w:r>
      <w:r>
        <w:rPr>
          <w:rFonts w:ascii="Times New Roman" w:eastAsia="Times New Roman" w:hAnsi="Times New Roman" w:cs="Times New Roman"/>
          <w:color w:val="6B5E56"/>
          <w:spacing w:val="0"/>
          <w:w w:val="100"/>
          <w:position w:val="0"/>
          <w:shd w:val="clear" w:color="auto" w:fill="auto"/>
          <w:lang w:val="en-US" w:eastAsia="en-US" w:bidi="en-US"/>
        </w:rPr>
        <w:t xml:space="preserve">Shalmaneſer,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B5E56"/>
          <w:spacing w:val="0"/>
          <w:w w:val="100"/>
          <w:position w:val="0"/>
          <w:shd w:val="clear" w:color="auto" w:fill="auto"/>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 xml:space="preserve">ſperſed among the provinces of that </w:t>
      </w:r>
      <w:r>
        <w:rPr>
          <w:rFonts w:ascii="Times New Roman" w:eastAsia="Times New Roman" w:hAnsi="Times New Roman" w:cs="Times New Roman"/>
          <w:color w:val="6B5E56"/>
          <w:spacing w:val="0"/>
          <w:w w:val="100"/>
          <w:position w:val="0"/>
          <w:shd w:val="clear" w:color="auto" w:fill="auto"/>
          <w:lang w:val="en-US" w:eastAsia="en-US" w:bidi="en-US"/>
        </w:rPr>
        <w:t xml:space="preserve">extenſive </w:t>
      </w:r>
      <w:r>
        <w:rPr>
          <w:rFonts w:ascii="Times New Roman" w:eastAsia="Times New Roman" w:hAnsi="Times New Roman" w:cs="Times New Roman"/>
          <w:color w:val="6B5E56"/>
          <w:spacing w:val="0"/>
          <w:w w:val="100"/>
          <w:position w:val="0"/>
          <w:shd w:val="clear" w:color="auto" w:fill="auto"/>
          <w:lang w:val="fr-FR" w:eastAsia="fr-FR" w:bidi="fr-FR"/>
        </w:rPr>
        <w:t>empire</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6B5E56"/>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about 741 years before Chriſt. It </w:t>
      </w:r>
      <w:r>
        <w:rPr>
          <w:rFonts w:ascii="Times New Roman" w:eastAsia="Times New Roman" w:hAnsi="Times New Roman" w:cs="Times New Roman"/>
          <w:color w:val="6B5E56"/>
          <w:spacing w:val="0"/>
          <w:w w:val="100"/>
          <w:position w:val="0"/>
          <w:shd w:val="clear" w:color="auto" w:fill="auto"/>
          <w:lang w:val="en-US" w:eastAsia="en-US" w:bidi="en-US"/>
        </w:rPr>
        <w:t xml:space="preserve">was about </w:t>
      </w:r>
      <w:r>
        <w:rPr>
          <w:rFonts w:ascii="Times New Roman" w:eastAsia="Times New Roman" w:hAnsi="Times New Roman" w:cs="Times New Roman"/>
          <w:color w:val="000000"/>
          <w:spacing w:val="0"/>
          <w:w w:val="100"/>
          <w:position w:val="0"/>
          <w:shd w:val="clear" w:color="auto" w:fill="auto"/>
          <w:lang w:val="en-US" w:eastAsia="en-US" w:bidi="en-US"/>
        </w:rPr>
        <w:t xml:space="preserve">that time the Samaritans were </w:t>
      </w:r>
      <w:r>
        <w:rPr>
          <w:rFonts w:ascii="Times New Roman" w:eastAsia="Times New Roman" w:hAnsi="Times New Roman" w:cs="Times New Roman"/>
          <w:color w:val="6B5E56"/>
          <w:spacing w:val="0"/>
          <w:w w:val="100"/>
          <w:position w:val="0"/>
          <w:shd w:val="clear" w:color="auto" w:fill="auto"/>
          <w:lang w:val="en-US" w:eastAsia="en-US" w:bidi="en-US"/>
        </w:rPr>
        <w:t xml:space="preserve">tranſported from Aſſyria </w:t>
      </w:r>
      <w:r>
        <w:rPr>
          <w:rFonts w:ascii="Times New Roman" w:eastAsia="Times New Roman" w:hAnsi="Times New Roman" w:cs="Times New Roman"/>
          <w:color w:val="000000"/>
          <w:spacing w:val="0"/>
          <w:w w:val="100"/>
          <w:position w:val="0"/>
          <w:shd w:val="clear" w:color="auto" w:fill="auto"/>
          <w:lang w:val="en-US" w:eastAsia="en-US" w:bidi="en-US"/>
        </w:rPr>
        <w:t xml:space="preserve">to repeople the country, which the ten captive tribes of Iſrael had formerly inhabited. The poſterity </w:t>
      </w:r>
      <w:r>
        <w:rPr>
          <w:rFonts w:ascii="Times New Roman" w:eastAsia="Times New Roman" w:hAnsi="Times New Roman" w:cs="Times New Roman"/>
          <w:color w:val="6B5E56"/>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Samaritans ſtill inhabit the land of their </w:t>
      </w:r>
      <w:r>
        <w:rPr>
          <w:rFonts w:ascii="Times New Roman" w:eastAsia="Times New Roman" w:hAnsi="Times New Roman" w:cs="Times New Roman"/>
          <w:color w:val="6B5E56"/>
          <w:spacing w:val="0"/>
          <w:w w:val="100"/>
          <w:position w:val="0"/>
          <w:shd w:val="clear" w:color="auto" w:fill="auto"/>
          <w:lang w:val="en-US" w:eastAsia="en-US" w:bidi="en-US"/>
        </w:rPr>
        <w:t xml:space="preserve">fathers, and </w:t>
      </w:r>
      <w:r>
        <w:rPr>
          <w:rFonts w:ascii="Times New Roman" w:eastAsia="Times New Roman" w:hAnsi="Times New Roman" w:cs="Times New Roman"/>
          <w:color w:val="000000"/>
          <w:spacing w:val="0"/>
          <w:w w:val="100"/>
          <w:position w:val="0"/>
          <w:shd w:val="clear" w:color="auto" w:fill="auto"/>
          <w:lang w:val="en-US" w:eastAsia="en-US" w:bidi="en-US"/>
        </w:rPr>
        <w:t xml:space="preserve">have preſerved copies of the Pcntateuch, two </w:t>
      </w:r>
      <w:r>
        <w:rPr>
          <w:rFonts w:ascii="Times New Roman" w:eastAsia="Times New Roman" w:hAnsi="Times New Roman" w:cs="Times New Roman"/>
          <w:color w:val="6B5E56"/>
          <w:spacing w:val="0"/>
          <w:w w:val="100"/>
          <w:position w:val="0"/>
          <w:shd w:val="clear" w:color="auto" w:fill="auto"/>
          <w:lang w:val="en-US" w:eastAsia="en-US" w:bidi="en-US"/>
        </w:rPr>
        <w:t xml:space="preserve">or three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were brought to this country in </w:t>
      </w:r>
      <w:r>
        <w:rPr>
          <w:rFonts w:ascii="Times New Roman" w:eastAsia="Times New Roman" w:hAnsi="Times New Roman" w:cs="Times New Roman"/>
          <w:color w:val="6B5E56"/>
          <w:spacing w:val="0"/>
          <w:w w:val="100"/>
          <w:position w:val="0"/>
          <w:shd w:val="clear" w:color="auto" w:fill="auto"/>
          <w:lang w:val="en-US" w:eastAsia="en-US" w:bidi="en-US"/>
        </w:rPr>
        <w:t xml:space="preserve">the laſt </w:t>
      </w:r>
      <w:r>
        <w:rPr>
          <w:rFonts w:ascii="Times New Roman" w:eastAsia="Times New Roman" w:hAnsi="Times New Roman" w:cs="Times New Roman"/>
          <w:color w:val="000000"/>
          <w:spacing w:val="0"/>
          <w:w w:val="100"/>
          <w:position w:val="0"/>
          <w:shd w:val="clear" w:color="auto" w:fill="auto"/>
          <w:lang w:val="en-US" w:eastAsia="en-US" w:bidi="en-US"/>
        </w:rPr>
        <w:t xml:space="preserve">century. The Samaritan Pentateuch is </w:t>
      </w:r>
      <w:r>
        <w:rPr>
          <w:rFonts w:ascii="Times New Roman" w:eastAsia="Times New Roman" w:hAnsi="Times New Roman" w:cs="Times New Roman"/>
          <w:color w:val="6B5E56"/>
          <w:spacing w:val="0"/>
          <w:w w:val="100"/>
          <w:position w:val="0"/>
          <w:shd w:val="clear" w:color="auto" w:fill="auto"/>
          <w:lang w:val="en-US" w:eastAsia="en-US" w:bidi="en-US"/>
        </w:rPr>
        <w:t xml:space="preserve">written in </w:t>
      </w:r>
      <w:r>
        <w:rPr>
          <w:rFonts w:ascii="Times New Roman" w:eastAsia="Times New Roman" w:hAnsi="Times New Roman" w:cs="Times New Roman"/>
          <w:color w:val="000000"/>
          <w:spacing w:val="0"/>
          <w:w w:val="100"/>
          <w:position w:val="0"/>
          <w:shd w:val="clear" w:color="auto" w:fill="auto"/>
          <w:lang w:val="en-US" w:eastAsia="en-US" w:bidi="en-US"/>
        </w:rPr>
        <w:t xml:space="preserve">old Hebrew characters (fee </w:t>
      </w:r>
      <w:r>
        <w:rPr>
          <w:rFonts w:ascii="Times New Roman" w:eastAsia="Times New Roman" w:hAnsi="Times New Roman" w:cs="Times New Roman"/>
          <w:smallCaps/>
          <w:color w:val="000000"/>
          <w:spacing w:val="0"/>
          <w:w w:val="100"/>
          <w:position w:val="0"/>
          <w:shd w:val="clear" w:color="auto" w:fill="auto"/>
          <w:lang w:val="en-US" w:eastAsia="en-US" w:bidi="en-US"/>
        </w:rPr>
        <w:t>Philology,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6B5E56"/>
          <w:spacing w:val="0"/>
          <w:w w:val="100"/>
          <w:position w:val="0"/>
          <w:shd w:val="clear" w:color="auto" w:fill="auto"/>
          <w:lang w:val="en-US" w:eastAsia="en-US" w:bidi="en-US"/>
        </w:rPr>
        <w:t xml:space="preserve">n⁰ 28).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muſt have exiſted before </w:t>
      </w:r>
      <w:r>
        <w:rPr>
          <w:rFonts w:ascii="Times New Roman" w:eastAsia="Times New Roman" w:hAnsi="Times New Roman" w:cs="Times New Roman"/>
          <w:color w:val="6B5E5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time </w:t>
      </w:r>
      <w:r>
        <w:rPr>
          <w:rFonts w:ascii="Times New Roman" w:eastAsia="Times New Roman" w:hAnsi="Times New Roman" w:cs="Times New Roman"/>
          <w:color w:val="6B5E56"/>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Ezra. But </w:t>
      </w:r>
      <w:r>
        <w:rPr>
          <w:rFonts w:ascii="Times New Roman" w:eastAsia="Times New Roman" w:hAnsi="Times New Roman" w:cs="Times New Roman"/>
          <w:color w:val="6B5E56"/>
          <w:spacing w:val="0"/>
          <w:w w:val="100"/>
          <w:position w:val="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 xml:space="preserve">violent were the </w:t>
      </w:r>
      <w:r>
        <w:rPr>
          <w:rFonts w:ascii="Times New Roman" w:eastAsia="Times New Roman" w:hAnsi="Times New Roman" w:cs="Times New Roman"/>
          <w:color w:val="6B5E56"/>
          <w:spacing w:val="0"/>
          <w:w w:val="100"/>
          <w:position w:val="0"/>
          <w:shd w:val="clear" w:color="auto" w:fill="auto"/>
          <w:lang w:val="en-US" w:eastAsia="en-US" w:bidi="en-US"/>
        </w:rPr>
        <w:t xml:space="preserve">animoſities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6B5E56"/>
          <w:spacing w:val="0"/>
          <w:w w:val="100"/>
          <w:position w:val="0"/>
          <w:shd w:val="clear" w:color="auto" w:fill="auto"/>
          <w:lang w:val="en-US" w:eastAsia="en-US" w:bidi="en-US"/>
        </w:rPr>
        <w:t>ſub</w:t>
      </w:r>
      <w:r>
        <w:rPr>
          <w:rFonts w:ascii="Times New Roman" w:eastAsia="Times New Roman" w:hAnsi="Times New Roman" w:cs="Times New Roman"/>
          <w:color w:val="000000"/>
          <w:spacing w:val="0"/>
          <w:w w:val="100"/>
          <w:position w:val="0"/>
          <w:shd w:val="clear" w:color="auto" w:fill="auto"/>
          <w:lang w:val="en-US" w:eastAsia="en-US" w:bidi="en-US"/>
        </w:rPr>
        <w:t xml:space="preserve">ſiſted between the Jews and Samaritans, that </w:t>
      </w:r>
      <w:r>
        <w:rPr>
          <w:rFonts w:ascii="Times New Roman" w:eastAsia="Times New Roman" w:hAnsi="Times New Roman" w:cs="Times New Roman"/>
          <w:color w:val="6B5E56"/>
          <w:spacing w:val="0"/>
          <w:w w:val="100"/>
          <w:position w:val="0"/>
          <w:shd w:val="clear" w:color="auto" w:fill="auto"/>
          <w:lang w:val="en-US" w:eastAsia="en-US" w:bidi="en-US"/>
        </w:rPr>
        <w:t>in no pe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riod of their hiſtory would </w:t>
      </w:r>
      <w:r>
        <w:rPr>
          <w:rFonts w:ascii="Times New Roman" w:eastAsia="Times New Roman" w:hAnsi="Times New Roman" w:cs="Times New Roman"/>
          <w:color w:val="6B5E56"/>
          <w:spacing w:val="0"/>
          <w:w w:val="100"/>
          <w:position w:val="0"/>
          <w:shd w:val="clear" w:color="auto" w:fill="auto"/>
          <w:lang w:val="en-US" w:eastAsia="en-US" w:bidi="en-US"/>
        </w:rPr>
        <w:t xml:space="preserve">the one nation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6B5E56"/>
          <w:spacing w:val="0"/>
          <w:w w:val="100"/>
          <w:position w:val="0"/>
          <w:shd w:val="clear" w:color="auto" w:fill="auto"/>
          <w:lang w:val="en-US" w:eastAsia="en-US" w:bidi="en-US"/>
        </w:rPr>
        <w:t xml:space="preserve">received </w:t>
      </w:r>
      <w:r>
        <w:rPr>
          <w:rFonts w:ascii="Times New Roman" w:eastAsia="Times New Roman" w:hAnsi="Times New Roman" w:cs="Times New Roman"/>
          <w:color w:val="000000"/>
          <w:spacing w:val="0"/>
          <w:w w:val="100"/>
          <w:position w:val="0"/>
          <w:shd w:val="clear" w:color="auto" w:fill="auto"/>
          <w:lang w:val="en-US" w:eastAsia="en-US" w:bidi="en-US"/>
        </w:rPr>
        <w:t xml:space="preserve">any books from the other. </w:t>
      </w:r>
      <w:r>
        <w:rPr>
          <w:rFonts w:ascii="Times New Roman" w:eastAsia="Times New Roman" w:hAnsi="Times New Roman" w:cs="Times New Roman"/>
          <w:color w:val="6B5E56"/>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muſt therefore </w:t>
      </w:r>
      <w:r>
        <w:rPr>
          <w:rFonts w:ascii="Times New Roman" w:eastAsia="Times New Roman" w:hAnsi="Times New Roman" w:cs="Times New Roman"/>
          <w:color w:val="6B5E56"/>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received them at their firſt ſettlement in Samaria from the </w:t>
      </w:r>
      <w:r>
        <w:rPr>
          <w:rFonts w:ascii="Times New Roman" w:eastAsia="Times New Roman" w:hAnsi="Times New Roman" w:cs="Times New Roman"/>
          <w:color w:val="6B5E56"/>
          <w:spacing w:val="0"/>
          <w:w w:val="100"/>
          <w:position w:val="0"/>
          <w:shd w:val="clear" w:color="auto" w:fill="auto"/>
          <w:lang w:val="en-US" w:eastAsia="en-US" w:bidi="en-US"/>
        </w:rPr>
        <w:t xml:space="preserve">captive </w:t>
      </w:r>
      <w:r>
        <w:rPr>
          <w:rFonts w:ascii="Times New Roman" w:eastAsia="Times New Roman" w:hAnsi="Times New Roman" w:cs="Times New Roman"/>
          <w:color w:val="000000"/>
          <w:spacing w:val="0"/>
          <w:w w:val="100"/>
          <w:position w:val="0"/>
          <w:shd w:val="clear" w:color="auto" w:fill="auto"/>
          <w:lang w:val="en-US" w:eastAsia="en-US" w:bidi="en-US"/>
        </w:rPr>
        <w:t>prieſt whom the Aſſyrian monarch ſent to teach them how they ſhould fear the Lord (2 Kings xvii.)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canon of the Old Teſtament, as both Jewiſh and Chriſtian writers </w:t>
      </w:r>
      <w:r>
        <w:rPr>
          <w:rFonts w:ascii="Times New Roman" w:eastAsia="Times New Roman" w:hAnsi="Times New Roman" w:cs="Times New Roman"/>
          <w:color w:val="6B5E56"/>
          <w:spacing w:val="0"/>
          <w:w w:val="100"/>
          <w:position w:val="0"/>
          <w:shd w:val="clear" w:color="auto" w:fill="auto"/>
          <w:lang w:val="en-US" w:eastAsia="en-US" w:bidi="en-US"/>
        </w:rPr>
        <w:t xml:space="preserve">agree, </w:t>
      </w:r>
      <w:r>
        <w:rPr>
          <w:rFonts w:ascii="Times New Roman" w:eastAsia="Times New Roman" w:hAnsi="Times New Roman" w:cs="Times New Roman"/>
          <w:color w:val="000000"/>
          <w:spacing w:val="0"/>
          <w:w w:val="100"/>
          <w:position w:val="0"/>
          <w:shd w:val="clear" w:color="auto" w:fill="auto"/>
          <w:lang w:val="en-US" w:eastAsia="en-US" w:bidi="en-US"/>
        </w:rPr>
        <w:t xml:space="preserve">was completed by Ezra and ſome of his immediate ſucceſſors (ſee </w:t>
      </w:r>
      <w:r>
        <w:rPr>
          <w:rFonts w:ascii="Times New Roman" w:eastAsia="Times New Roman" w:hAnsi="Times New Roman" w:cs="Times New Roman"/>
          <w:smallCaps/>
          <w:color w:val="000000"/>
          <w:spacing w:val="0"/>
          <w:w w:val="100"/>
          <w:position w:val="0"/>
          <w:shd w:val="clear" w:color="auto" w:fill="auto"/>
          <w:lang w:val="en-US" w:eastAsia="en-US" w:bidi="en-US"/>
        </w:rPr>
        <w:t>Bible).</w:t>
      </w:r>
      <w:r>
        <w:rPr>
          <w:rFonts w:ascii="Times New Roman" w:eastAsia="Times New Roman" w:hAnsi="Times New Roman" w:cs="Times New Roman"/>
          <w:color w:val="000000"/>
          <w:spacing w:val="0"/>
          <w:w w:val="100"/>
          <w:position w:val="0"/>
          <w:shd w:val="clear" w:color="auto" w:fill="auto"/>
          <w:lang w:val="en-US" w:eastAsia="en-US" w:bidi="en-US"/>
        </w:rPr>
        <w:t xml:space="preserve"> In our copies the ſacred books are divided </w:t>
      </w:r>
      <w:r>
        <w:rPr>
          <w:rFonts w:ascii="Times New Roman" w:eastAsia="Times New Roman" w:hAnsi="Times New Roman" w:cs="Times New Roman"/>
          <w:color w:val="6B5E56"/>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39. The Jews reckoned only 22, correſponding </w:t>
      </w:r>
      <w:r>
        <w:rPr>
          <w:rFonts w:ascii="Times New Roman" w:eastAsia="Times New Roman" w:hAnsi="Times New Roman" w:cs="Times New Roman"/>
          <w:color w:val="6B5E56"/>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letters in the Hebrew alphabet. </w:t>
      </w:r>
      <w:r>
        <w:rPr>
          <w:rFonts w:ascii="Times New Roman" w:eastAsia="Times New Roman" w:hAnsi="Times New Roman" w:cs="Times New Roman"/>
          <w:color w:val="6B5E56"/>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united </w:t>
      </w:r>
      <w:r>
        <w:rPr>
          <w:rFonts w:ascii="Times New Roman" w:eastAsia="Times New Roman" w:hAnsi="Times New Roman" w:cs="Times New Roman"/>
          <w:color w:val="6B5E5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books of Judges and </w:t>
      </w:r>
      <w:r>
        <w:rPr>
          <w:rFonts w:ascii="Times New Roman" w:eastAsia="Times New Roman" w:hAnsi="Times New Roman" w:cs="Times New Roman"/>
          <w:color w:val="6B5E56"/>
          <w:spacing w:val="0"/>
          <w:w w:val="100"/>
          <w:position w:val="0"/>
          <w:shd w:val="clear" w:color="auto" w:fill="auto"/>
          <w:lang w:val="en-US" w:eastAsia="en-US" w:bidi="en-US"/>
        </w:rPr>
        <w:t xml:space="preserve">Ruth; they joined the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6B5E56"/>
          <w:spacing w:val="0"/>
          <w:w w:val="100"/>
          <w:position w:val="0"/>
          <w:shd w:val="clear" w:color="auto" w:fill="auto"/>
          <w:lang w:val="en-US" w:eastAsia="en-US" w:bidi="en-US"/>
        </w:rPr>
        <w:t xml:space="preserve">books </w:t>
      </w:r>
      <w:r>
        <w:rPr>
          <w:rFonts w:ascii="Times New Roman" w:eastAsia="Times New Roman" w:hAnsi="Times New Roman" w:cs="Times New Roman"/>
          <w:color w:val="000000"/>
          <w:spacing w:val="0"/>
          <w:w w:val="100"/>
          <w:position w:val="0"/>
          <w:shd w:val="clear" w:color="auto" w:fill="auto"/>
          <w:lang w:val="en-US" w:eastAsia="en-US" w:bidi="en-US"/>
        </w:rPr>
        <w:t xml:space="preserve">of Samuel; the books of </w:t>
      </w:r>
      <w:r>
        <w:rPr>
          <w:rFonts w:ascii="Times New Roman" w:eastAsia="Times New Roman" w:hAnsi="Times New Roman" w:cs="Times New Roman"/>
          <w:color w:val="6B5E56"/>
          <w:spacing w:val="0"/>
          <w:w w:val="100"/>
          <w:position w:val="0"/>
          <w:shd w:val="clear" w:color="auto" w:fill="auto"/>
          <w:lang w:val="en-US" w:eastAsia="en-US" w:bidi="en-US"/>
        </w:rPr>
        <w:t xml:space="preserve">Kings and </w:t>
      </w:r>
      <w:r>
        <w:rPr>
          <w:rFonts w:ascii="Times New Roman" w:eastAsia="Times New Roman" w:hAnsi="Times New Roman" w:cs="Times New Roman"/>
          <w:color w:val="000000"/>
          <w:spacing w:val="0"/>
          <w:w w:val="100"/>
          <w:position w:val="0"/>
          <w:shd w:val="clear" w:color="auto" w:fill="auto"/>
          <w:lang w:val="en-US" w:eastAsia="en-US" w:bidi="en-US"/>
        </w:rPr>
        <w:t xml:space="preserve">Chronicles were reckoned one; Ezra and </w:t>
      </w:r>
      <w:r>
        <w:rPr>
          <w:rFonts w:ascii="Times New Roman" w:eastAsia="Times New Roman" w:hAnsi="Times New Roman" w:cs="Times New Roman"/>
          <w:color w:val="6B5E56"/>
          <w:spacing w:val="0"/>
          <w:w w:val="100"/>
          <w:position w:val="0"/>
          <w:shd w:val="clear" w:color="auto" w:fill="auto"/>
          <w:lang w:val="en-US" w:eastAsia="en-US" w:bidi="en-US"/>
        </w:rPr>
        <w:t>Nehemiah one; the Prophe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cies and Lamentations of Jeremiah were taken </w:t>
      </w:r>
      <w:r>
        <w:rPr>
          <w:rFonts w:ascii="Times New Roman" w:eastAsia="Times New Roman" w:hAnsi="Times New Roman" w:cs="Times New Roman"/>
          <w:color w:val="6B5E56"/>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head; and the 12 minor prophets were </w:t>
      </w:r>
      <w:r>
        <w:rPr>
          <w:rFonts w:ascii="Times New Roman" w:eastAsia="Times New Roman" w:hAnsi="Times New Roman" w:cs="Times New Roman"/>
          <w:color w:val="6B5E56"/>
          <w:spacing w:val="0"/>
          <w:w w:val="100"/>
          <w:position w:val="0"/>
          <w:shd w:val="clear" w:color="auto" w:fill="auto"/>
          <w:lang w:val="en-US" w:eastAsia="en-US" w:bidi="en-US"/>
        </w:rPr>
        <w:t>con</w:t>
      </w:r>
      <w:r>
        <w:rPr>
          <w:rFonts w:ascii="Times New Roman" w:eastAsia="Times New Roman" w:hAnsi="Times New Roman" w:cs="Times New Roman"/>
          <w:color w:val="000000"/>
          <w:spacing w:val="0"/>
          <w:w w:val="100"/>
          <w:position w:val="0"/>
          <w:shd w:val="clear" w:color="auto" w:fill="auto"/>
          <w:lang w:val="en-US" w:eastAsia="en-US" w:bidi="en-US"/>
        </w:rPr>
        <w:t xml:space="preserve">ſidered as one book—ſo that the whole number of </w:t>
      </w:r>
      <w:r>
        <w:rPr>
          <w:rFonts w:ascii="Times New Roman" w:eastAsia="Times New Roman" w:hAnsi="Times New Roman" w:cs="Times New Roman"/>
          <w:color w:val="6B5E56"/>
          <w:spacing w:val="0"/>
          <w:w w:val="100"/>
          <w:position w:val="0"/>
          <w:shd w:val="clear" w:color="auto" w:fill="auto"/>
          <w:lang w:val="en-US" w:eastAsia="en-US" w:bidi="en-US"/>
        </w:rPr>
        <w:t xml:space="preserve">books </w:t>
      </w:r>
      <w:r>
        <w:rPr>
          <w:rFonts w:ascii="Times New Roman" w:eastAsia="Times New Roman" w:hAnsi="Times New Roman" w:cs="Times New Roman"/>
          <w:color w:val="000000"/>
          <w:spacing w:val="0"/>
          <w:w w:val="100"/>
          <w:position w:val="0"/>
          <w:shd w:val="clear" w:color="auto" w:fill="auto"/>
          <w:lang w:val="en-US" w:eastAsia="en-US" w:bidi="en-US"/>
        </w:rPr>
        <w:t xml:space="preserve">in the Jewiſh canon amounted to </w:t>
      </w:r>
      <w:r>
        <w:rPr>
          <w:rFonts w:ascii="Times New Roman" w:eastAsia="Times New Roman" w:hAnsi="Times New Roman" w:cs="Times New Roman"/>
          <w:color w:val="6B5E56"/>
          <w:spacing w:val="0"/>
          <w:w w:val="100"/>
          <w:position w:val="0"/>
          <w:shd w:val="clear" w:color="auto" w:fill="auto"/>
          <w:lang w:val="en-US" w:eastAsia="en-US" w:bidi="en-US"/>
        </w:rPr>
        <w:t>22.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Pentateuch conſiſts of </w:t>
      </w:r>
      <w:r>
        <w:rPr>
          <w:rFonts w:ascii="Times New Roman" w:eastAsia="Times New Roman" w:hAnsi="Times New Roman" w:cs="Times New Roman"/>
          <w:color w:val="6B5E56"/>
          <w:spacing w:val="0"/>
          <w:w w:val="100"/>
          <w:position w:val="0"/>
          <w:shd w:val="clear" w:color="auto" w:fill="auto"/>
          <w:lang w:val="en-US" w:eastAsia="en-US" w:bidi="en-US"/>
        </w:rPr>
        <w:t xml:space="preserve">the five </w:t>
      </w:r>
      <w:r>
        <w:rPr>
          <w:rFonts w:ascii="Times New Roman" w:eastAsia="Times New Roman" w:hAnsi="Times New Roman" w:cs="Times New Roman"/>
          <w:color w:val="000000"/>
          <w:spacing w:val="0"/>
          <w:w w:val="100"/>
          <w:position w:val="0"/>
          <w:shd w:val="clear" w:color="auto" w:fill="auto"/>
          <w:lang w:val="en-US" w:eastAsia="en-US" w:bidi="en-US"/>
        </w:rPr>
        <w:t xml:space="preserve">books Geneſis, Exodus, Leviticus, Numbers, and Deuteronomy. </w:t>
      </w:r>
      <w:r>
        <w:rPr>
          <w:rFonts w:ascii="Times New Roman" w:eastAsia="Times New Roman" w:hAnsi="Times New Roman" w:cs="Times New Roman"/>
          <w:color w:val="6B5E56"/>
          <w:spacing w:val="0"/>
          <w:w w:val="100"/>
          <w:position w:val="0"/>
          <w:shd w:val="clear" w:color="auto" w:fill="auto"/>
          <w:lang w:val="en-US" w:eastAsia="en-US" w:bidi="en-US"/>
        </w:rPr>
        <w:t>Se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veral obſervations have been already made reſpecting the authenticity of theſe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Pentateuch</w:t>
      </w:r>
      <w:r>
        <w:rPr>
          <w:rFonts w:ascii="Times New Roman" w:eastAsia="Times New Roman" w:hAnsi="Times New Roman" w:cs="Times New Roman"/>
          <w:smallCaps/>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ſeveral additional remarks have occurred, which may not improperly be given in this place. For many of theſe we acknowledge ourſelves indebted to a ſermon publiſhed by the reverend Mr Marſh, whoſe reſearch and learning and critical accuracy will be acknow</w:t>
        <w:softHyphen/>
        <w:t>ledged by every reader of diſcernment.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ſtrongeſt arguments that have occurred to us in ſupport of the authenticity of the Pentateuch, and the inſpiration of the writer, has already been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 xml:space="preserve"> n⁰ 14, &amp;c. which ſee: But we ſhall in this place preſent two arguments of a different kind, which would be ſufficient to prove at leaſt the former of theſe concluſions. We argue from the language and contents of the Moſaic writings, and from the teſtimony of the other books of Scripture.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contents and language of the Pentateuch there ariſes a very ſtrong preſumption that Moſes was its author. The very mode of writing in the four laſt books diſcovers an author contemporary with the events which he relates; every deſcription, both religious and political, is a proof that the writer was preſent at each reſpective ſcene;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legiſlative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hiſtorical </w:t>
      </w:r>
      <w:r>
        <w:rPr>
          <w:rFonts w:ascii="Times New Roman" w:eastAsia="Times New Roman" w:hAnsi="Times New Roman" w:cs="Times New Roman"/>
          <w:color w:val="000000"/>
          <w:spacing w:val="0"/>
          <w:w w:val="100"/>
          <w:position w:val="0"/>
          <w:shd w:val="clear" w:color="auto" w:fill="auto"/>
          <w:lang w:val="en-US" w:eastAsia="en-US" w:bidi="en-US"/>
        </w:rPr>
        <w:t>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 *Ecclesiasticus xlviii. 22.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 † xlix.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 ‡ xlix. 8.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 A. xlix. 10. </w:t>
      </w:r>
    </w:p>
    <w:sectPr>
      <w:footnotePr>
        <w:pos w:val="pageBottom"/>
        <w:numFmt w:val="decimal"/>
        <w:numRestart w:val="continuous"/>
      </w:footnotePr>
      <w:pgSz w:w="12240" w:h="15840"/>
      <w:pgMar w:top="1125" w:left="896" w:right="896" w:bottom="1796" w:header="0" w:footer="3" w:gutter="18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