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360" w:lineRule="auto"/>
        <w:ind w:left="0" w:firstLine="0"/>
        <w:jc w:val="left"/>
      </w:pPr>
      <w:r>
        <w:rPr>
          <w:color w:val="000000"/>
          <w:spacing w:val="0"/>
          <w:w w:val="100"/>
          <w:position w:val="0"/>
          <w:shd w:val="clear" w:color="auto" w:fill="auto"/>
          <w:lang w:val="en-US" w:eastAsia="en-US" w:bidi="en-US"/>
        </w:rPr>
        <w:t>centre of gravity of the bottom of the ſhip from the aft side of the poſt.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height of the centre of gravity of the bottom  above the lower edge of the keel may be determined by the same principles. Thus,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one ſixth of the lowermoſt horizontal ſection add the product of one ſixth of the uppermoſt section by three times the number of ſections minus four 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ſection in aſcending, twice the third, three times the fourth, &amp;c. ; and to half the ſum of the extreme planes add all the intermediate ones. Now the firſt of theſe ſums, multiplied by the diſtance between the planes or ſections, and divided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ſum, gives the altitude of the centre of gravity of the bottom of the ſhip above the lower edge of the keel as required.</w:t>
      </w:r>
    </w:p>
    <w:tbl>
      <w:tblPr>
        <w:tblOverlap w:val="never"/>
        <w:jc w:val="left"/>
        <w:tblLayout w:type="fixed"/>
      </w:tblPr>
      <w:tblGrid>
        <w:gridCol w:w="979"/>
        <w:gridCol w:w="756"/>
        <w:gridCol w:w="1156"/>
        <w:gridCol w:w="425"/>
        <w:gridCol w:w="824"/>
      </w:tblGrid>
      <w:tr>
        <w:trPr>
          <w:trHeight w:val="16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Hor∙ Planes.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2"/>
                <w:szCs w:val="12"/>
                <w:shd w:val="clear" w:color="auto" w:fill="auto"/>
                <w:lang w:val="en-US" w:eastAsia="en-US" w:bidi="en-US"/>
              </w:rPr>
              <w:t xml:space="preserve">1st. </w:t>
            </w:r>
            <w:r>
              <w:rPr>
                <w:rFonts w:ascii="Georgia" w:eastAsia="Georgia" w:hAnsi="Georgia" w:cs="Georgia"/>
                <w:color w:val="000000"/>
                <w:spacing w:val="0"/>
                <w:w w:val="100"/>
                <w:position w:val="0"/>
                <w:sz w:val="14"/>
                <w:szCs w:val="14"/>
                <w:shd w:val="clear" w:color="auto" w:fill="auto"/>
                <w:lang w:val="en-US" w:eastAsia="en-US" w:bidi="en-US"/>
              </w:rPr>
              <w:t>Fact.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 xml:space="preserve">1st </w:t>
            </w:r>
            <w:r>
              <w:rPr>
                <w:rFonts w:ascii="Georgia" w:eastAsia="Georgia" w:hAnsi="Georgia" w:cs="Georgia"/>
                <w:color w:val="000000"/>
                <w:spacing w:val="0"/>
                <w:w w:val="100"/>
                <w:position w:val="0"/>
                <w:sz w:val="14"/>
                <w:szCs w:val="14"/>
                <w:shd w:val="clear" w:color="auto" w:fill="auto"/>
                <w:lang w:val="fr-FR" w:eastAsia="fr-FR" w:bidi="fr-FR"/>
              </w:rPr>
              <w:t>Products. 2d</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 xml:space="preserve"> Fact.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 xml:space="preserve">2d </w:t>
            </w:r>
            <w:r>
              <w:rPr>
                <w:rFonts w:ascii="Georgia" w:eastAsia="Georgia" w:hAnsi="Georgia" w:cs="Georgia"/>
                <w:color w:val="000000"/>
                <w:spacing w:val="0"/>
                <w:w w:val="100"/>
                <w:position w:val="0"/>
                <w:sz w:val="14"/>
                <w:szCs w:val="14"/>
                <w:shd w:val="clear" w:color="auto" w:fill="auto"/>
                <w:lang w:val="fr-FR" w:eastAsia="fr-FR" w:bidi="fr-FR"/>
              </w:rPr>
              <w:t>Products.</w:t>
            </w:r>
          </w:p>
        </w:tc>
      </w:tr>
      <w:tr>
        <w:trPr>
          <w:trHeight w:val="21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&gt;7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Georgia" w:eastAsia="Georgia" w:hAnsi="Georgia" w:cs="Georgia"/>
                <w:color w:val="000000"/>
                <w:spacing w:val="0"/>
                <w:w w:val="100"/>
                <w:position w:val="0"/>
                <w:sz w:val="14"/>
                <w:szCs w:val="14"/>
                <w:shd w:val="clear" w:color="auto" w:fill="auto"/>
                <w:lang w:val="en-US" w:eastAsia="en-US" w:bidi="en-US"/>
              </w:rPr>
              <w:t>O</w:t>
            </w:r>
            <w:r>
              <w:rPr>
                <w:rFonts w:ascii="SimSun" w:eastAsia="SimSun" w:hAnsi="SimSun" w:cs="SimSun"/>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104.00</w:t>
            </w:r>
          </w:p>
        </w:tc>
      </w:tr>
      <w:tr>
        <w:trPr>
          <w:trHeight w:val="19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74-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374∙27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r>
      <w:tr>
        <w:trPr>
          <w:trHeight w:val="18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2366.46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4732.92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2366.46</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5∙4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ÏCO96.26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3365∙42</w:t>
            </w:r>
          </w:p>
        </w:tc>
      </w:tr>
      <w:tr>
        <w:trPr>
          <w:trHeight w:val="19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69.50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1667 8.co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4169.50</w:t>
            </w:r>
          </w:p>
        </w:tc>
      </w:tr>
      <w:tr>
        <w:trPr>
          <w:trHeight w:val="198"/>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4939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24696.35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4939∙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r>
      <w:tr>
        <w:trPr>
          <w:trHeight w:val="212"/>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33553∙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5592.27</w:t>
            </w:r>
          </w:p>
        </w:tc>
      </w:tr>
      <w:tr>
        <w:trPr>
          <w:trHeight w:val="414"/>
        </w:trPr>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5974∙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*99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Or</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2987.c8</w:t>
            </w:r>
          </w:p>
        </w:tc>
      </w:tr>
      <w:tr>
        <w:trPr>
          <w:trHeight w:val="310"/>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fr-FR" w:eastAsia="fr-FR" w:bidi="fr-FR"/>
              </w:rPr>
              <w:t>ï</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10079.96</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&gt;</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23898.27</w:t>
            </w:r>
          </w:p>
        </w:tc>
      </w:tr>
    </w:tbl>
    <w:p>
      <w:pPr>
        <w:pStyle w:val="Style4"/>
        <w:keepNext w:val="0"/>
        <w:keepLines w:val="0"/>
        <w:widowControl w:val="0"/>
        <w:shd w:val="clear" w:color="auto" w:fill="auto"/>
        <w:tabs>
          <w:tab w:pos="2804" w:val="left"/>
          <w:tab w:pos="3459" w:val="left"/>
        </w:tabs>
        <w:bidi w:val="0"/>
        <w:spacing w:line="240" w:lineRule="auto"/>
        <w:ind w:left="0" w:firstLine="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110079.06</w:t>
        <w:tab/>
      </w:r>
      <w:r>
        <w:rPr>
          <w:rFonts w:ascii="Times New Roman" w:eastAsia="Times New Roman" w:hAnsi="Times New Roman" w:cs="Times New Roman"/>
          <w:color w:val="000000"/>
          <w:spacing w:val="0"/>
          <w:w w:val="100"/>
          <w:position w:val="0"/>
          <w:shd w:val="clear" w:color="auto" w:fill="auto"/>
          <w:lang w:val="en-US" w:eastAsia="en-US" w:bidi="en-US"/>
        </w:rPr>
        <w:t>on %</w:t>
        <w:tab/>
        <w:t>, ∙ ,</w:t>
      </w:r>
    </w:p>
    <w:p>
      <w:pPr>
        <w:pStyle w:val="Style4"/>
        <w:keepNext w:val="0"/>
        <w:keepLines w:val="0"/>
        <w:widowControl w:val="0"/>
        <w:shd w:val="clear" w:color="auto" w:fill="auto"/>
        <w:tabs>
          <w:tab w:leader="hyphen" w:pos="936" w:val="left"/>
          <w:tab w:leader="hyphen" w:pos="154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w:t>
        <w:tab/>
        <w:t>——</w:t>
        <w:tab/>
        <w:t>× 2.95 = 13.588, the height of</w:t>
      </w:r>
    </w:p>
    <w:p>
      <w:pPr>
        <w:pStyle w:val="Style4"/>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23θ9*∙^7</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centre of gravity of the bottom of the ſhip above the lower edge of the keel.</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now found the diſtance of the centre of gra</w:t>
        <w:softHyphen/>
        <w:t>vity of the bottom of the ſhip from the aft side of the poſt, and its altitude above the lower edge of the keel. Hence the ſhip being ſuppoſed in an upright poſition, this centre of gravity will neceſſarily be in the vertical longitudinal ſection which divides the ſhip into two equal and ſimilar parts ; the poſition of this centre is therefore determined.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now remains to find the height of the metacenter above the centre of gravity ; the expreſſion for this altitude, as found in Chap. III. is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we ſhall</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apply to determine the metacenter of the ſhip of of 74 guns, whoſe centre of gravity we have already found.</w:t>
      </w:r>
    </w:p>
    <w:tbl>
      <w:tblPr>
        <w:tblOverlap w:val="never"/>
        <w:jc w:val="left"/>
        <w:tblLayout w:type="fixed"/>
      </w:tblPr>
      <w:tblGrid>
        <w:gridCol w:w="1260"/>
        <w:gridCol w:w="1534"/>
        <w:gridCol w:w="1300"/>
      </w:tblGrid>
      <w:tr>
        <w:trPr>
          <w:trHeight w:val="331"/>
        </w:trPr>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 of the Plane of Floatation.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Cub.of Ordinates.</w:t>
            </w:r>
          </w:p>
        </w:tc>
      </w:tr>
      <w:tr>
        <w:trPr>
          <w:trHeight w:val="274"/>
        </w:trPr>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Ft. Inch.</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Ft. &amp; dec. of Foot.</w:t>
            </w:r>
          </w:p>
        </w:tc>
        <w:tc>
          <w:tcPr>
            <w:tcBorders>
              <w:left w:val="single" w:sz="4"/>
            </w:tcBorders>
            <w:shd w:val="clear" w:color="auto" w:fill="FFFFFF"/>
            <w:vAlign w:val="top"/>
          </w:tcPr>
          <w:p>
            <w:pPr>
              <w:widowControl w:val="0"/>
              <w:rPr>
                <w:sz w:val="10"/>
                <w:szCs w:val="10"/>
              </w:rPr>
            </w:pPr>
          </w:p>
        </w:tc>
      </w:tr>
      <w:tr>
        <w:trPr>
          <w:trHeight w:val="216"/>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3 209.04δ</w:t>
            </w:r>
          </w:p>
        </w:tc>
      </w:tr>
      <w:tr>
        <w:trPr>
          <w:trHeight w:val="176"/>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ÇC00.2I </w:t>
            </w:r>
            <w:r>
              <w:rPr>
                <w:rFonts w:ascii="Arial" w:eastAsia="Arial" w:hAnsi="Arial" w:cs="Arial"/>
                <w:color w:val="000000"/>
                <w:spacing w:val="0"/>
                <w:w w:val="100"/>
                <w:position w:val="0"/>
                <w:sz w:val="12"/>
                <w:szCs w:val="12"/>
                <w:shd w:val="clear" w:color="auto" w:fill="auto"/>
                <w:lang w:val="en-US" w:eastAsia="en-US" w:bidi="en-US"/>
              </w:rPr>
              <w:t>I</w:t>
            </w:r>
          </w:p>
        </w:tc>
      </w:tr>
      <w:tr>
        <w:trPr>
          <w:trHeight w:val="209"/>
        </w:trPr>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059i∙797</w:t>
            </w:r>
          </w:p>
        </w:tc>
      </w:tr>
      <w:tr>
        <w:trPr>
          <w:trHeight w:val="180"/>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19 10 0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7702.392</w:t>
            </w:r>
          </w:p>
        </w:tc>
      </w:tr>
      <w:tr>
        <w:trPr>
          <w:trHeight w:val="202"/>
        </w:trPr>
        <w:tc>
          <w:tcPr>
            <w:tcBorders/>
            <w:shd w:val="clear" w:color="auto" w:fill="FFFFFF"/>
            <w:vAlign w:val="top"/>
          </w:tcPr>
          <w:p>
            <w:pPr>
              <w:pStyle w:val="Style6"/>
              <w:keepNext w:val="0"/>
              <w:keepLines w:val="0"/>
              <w:widowControl w:val="0"/>
              <w:shd w:val="clear" w:color="auto" w:fill="auto"/>
              <w:tabs>
                <w:tab w:pos="645" w:val="left"/>
                <w:tab w:pos="93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tab/>
              <w:t>7</w:t>
              <w:tab/>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8741.816</w:t>
            </w:r>
          </w:p>
        </w:tc>
      </w:tr>
      <w:tr>
        <w:trPr>
          <w:trHeight w:val="184"/>
        </w:trPr>
        <w:tc>
          <w:tcPr>
            <w:tcBorders/>
            <w:shd w:val="clear" w:color="auto" w:fill="FFFFFF"/>
            <w:vAlign w:val="bottom"/>
          </w:tcPr>
          <w:p>
            <w:pPr>
              <w:pStyle w:val="Style6"/>
              <w:keepNext w:val="0"/>
              <w:keepLines w:val="0"/>
              <w:widowControl w:val="0"/>
              <w:shd w:val="clear" w:color="auto" w:fill="auto"/>
              <w:tabs>
                <w:tab w:pos="65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2 1</w:t>
              <w:tab/>
              <w:t>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9595-703</w:t>
            </w:r>
          </w:p>
        </w:tc>
      </w:tr>
      <w:tr>
        <w:trPr>
          <w:trHeight w:val="198"/>
        </w:trPr>
        <w:tc>
          <w:tcPr>
            <w:tcBorders/>
            <w:shd w:val="clear" w:color="auto" w:fill="FFFFFF"/>
            <w:vAlign w:val="bottom"/>
          </w:tcPr>
          <w:p>
            <w:pPr>
              <w:pStyle w:val="Style6"/>
              <w:keepNext w:val="0"/>
              <w:keepLines w:val="0"/>
              <w:widowControl w:val="0"/>
              <w:shd w:val="clear" w:color="auto" w:fill="auto"/>
              <w:tabs>
                <w:tab w:pos="645" w:val="left"/>
                <w:tab w:pos="94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6</w:t>
              <w:tab/>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2I∙5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9938.375</w:t>
            </w:r>
          </w:p>
        </w:tc>
      </w:tr>
      <w:tr>
        <w:trPr>
          <w:trHeight w:val="198"/>
        </w:trPr>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21 7 9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10289.109</w:t>
            </w:r>
          </w:p>
        </w:tc>
      </w:tr>
      <w:tr>
        <w:trPr>
          <w:trHeight w:val="191"/>
        </w:trPr>
        <w:tc>
          <w:tcPr>
            <w:tcBorders/>
            <w:shd w:val="clear" w:color="auto" w:fill="FFFFFF"/>
            <w:vAlign w:val="bottom"/>
          </w:tcPr>
          <w:p>
            <w:pPr>
              <w:pStyle w:val="Style6"/>
              <w:keepNext w:val="0"/>
              <w:keepLines w:val="0"/>
              <w:widowControl w:val="0"/>
              <w:shd w:val="clear" w:color="auto" w:fill="auto"/>
              <w:tabs>
                <w:tab w:pos="64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7 9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10289.109</w:t>
            </w:r>
          </w:p>
        </w:tc>
      </w:tr>
      <w:tr>
        <w:trPr>
          <w:trHeight w:val="187"/>
        </w:trPr>
        <w:tc>
          <w:tcPr>
            <w:tcBorders/>
            <w:shd w:val="clear" w:color="auto" w:fill="FFFFFF"/>
            <w:vAlign w:val="bottom"/>
          </w:tcPr>
          <w:p>
            <w:pPr>
              <w:pStyle w:val="Style6"/>
              <w:keepNext w:val="0"/>
              <w:keepLines w:val="0"/>
              <w:widowControl w:val="0"/>
              <w:shd w:val="clear" w:color="auto" w:fill="auto"/>
              <w:tabs>
                <w:tab w:pos="65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ιc289 ιc9</w:t>
            </w:r>
          </w:p>
        </w:tc>
      </w:tr>
      <w:tr>
        <w:trPr>
          <w:trHeight w:val="209"/>
        </w:trPr>
        <w:tc>
          <w:tcPr>
            <w:tcBorders/>
            <w:shd w:val="clear" w:color="auto" w:fill="FFFFFF"/>
            <w:vAlign w:val="top"/>
          </w:tcPr>
          <w:p>
            <w:pPr>
              <w:pStyle w:val="Style6"/>
              <w:keepNext w:val="0"/>
              <w:keepLines w:val="0"/>
              <w:widowControl w:val="0"/>
              <w:shd w:val="clear" w:color="auto" w:fill="auto"/>
              <w:tabs>
                <w:tab w:pos="6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9663∙597</w:t>
            </w:r>
          </w:p>
        </w:tc>
      </w:tr>
      <w:tr>
        <w:trPr>
          <w:trHeight w:val="191"/>
        </w:trPr>
        <w:tc>
          <w:tcPr>
            <w:tcBorders/>
            <w:shd w:val="clear" w:color="auto" w:fill="FFFFFF"/>
            <w:vAlign w:val="top"/>
          </w:tcPr>
          <w:p>
            <w:pPr>
              <w:pStyle w:val="Style6"/>
              <w:keepNext w:val="0"/>
              <w:keepLines w:val="0"/>
              <w:widowControl w:val="0"/>
              <w:shd w:val="clear" w:color="auto" w:fill="auto"/>
              <w:tabs>
                <w:tab w:pos="93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20 10</w:t>
              <w:tab/>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9129.329</w:t>
            </w:r>
          </w:p>
        </w:tc>
      </w:tr>
      <w:tr>
        <w:trPr>
          <w:trHeight w:val="187"/>
        </w:trPr>
        <w:tc>
          <w:tcPr>
            <w:tcBorders/>
            <w:shd w:val="clear" w:color="auto" w:fill="FFFFFF"/>
            <w:vAlign w:val="top"/>
          </w:tcPr>
          <w:p>
            <w:pPr>
              <w:pStyle w:val="Style6"/>
              <w:keepNext w:val="0"/>
              <w:keepLines w:val="0"/>
              <w:widowControl w:val="0"/>
              <w:shd w:val="clear" w:color="auto" w:fill="auto"/>
              <w:tabs>
                <w:tab w:pos="634" w:val="left"/>
                <w:tab w:pos="91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tab/>
              <w:t>9</w:t>
              <w:tab/>
              <w:t>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7703734</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5268.024</w:t>
            </w:r>
          </w:p>
        </w:tc>
      </w:tr>
      <w:tr>
        <w:trPr>
          <w:trHeight w:val="187"/>
        </w:trPr>
        <w:tc>
          <w:tcPr>
            <w:tcBorders/>
            <w:shd w:val="clear" w:color="auto" w:fill="FFFFFF"/>
            <w:vAlign w:val="top"/>
          </w:tcPr>
          <w:p>
            <w:pPr>
              <w:pStyle w:val="Style6"/>
              <w:keepNext w:val="0"/>
              <w:keepLines w:val="0"/>
              <w:widowControl w:val="0"/>
              <w:shd w:val="clear" w:color="auto" w:fill="auto"/>
              <w:tabs>
                <w:tab w:pos="642" w:val="left"/>
                <w:tab w:pos="91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1</w:t>
              <w:tab/>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2248.091</w:t>
            </w:r>
          </w:p>
        </w:tc>
      </w:tr>
      <w:tr>
        <w:trPr>
          <w:trHeight w:val="252"/>
        </w:trPr>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291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291a</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115719.443</w:t>
            </w:r>
          </w:p>
        </w:tc>
      </w:tr>
    </w:tbl>
    <w:tbl>
      <w:tblPr>
        <w:tblOverlap w:val="never"/>
        <w:jc w:val="left"/>
        <w:tblLayout w:type="fixed"/>
      </w:tblPr>
      <w:tblGrid>
        <w:gridCol w:w="2405"/>
        <w:gridCol w:w="540"/>
        <w:gridCol w:w="1260"/>
      </w:tblGrid>
      <w:tr>
        <w:trPr>
          <w:trHeight w:val="612"/>
        </w:trPr>
        <w:tc>
          <w:tcPr>
            <w:gridSpan w:val="2"/>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Ordinate at 10.03 feet abaft the or</w:t>
              <w:softHyphen/>
              <w:t>dinate 8y, — 4, of which the cube is 64, and 64 X ⅜</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r>
      <w:tr>
        <w:trPr>
          <w:trHeight w:val="688"/>
        </w:trPr>
        <w:tc>
          <w:tcPr>
            <w:gridSpan w:val="2"/>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Ordinate </w:t>
            </w:r>
            <w:r>
              <w:rPr>
                <w:rFonts w:ascii="Times New Roman" w:eastAsia="Times New Roman" w:hAnsi="Times New Roman" w:cs="Times New Roman"/>
                <w:color w:val="000000"/>
                <w:spacing w:val="0"/>
                <w:w w:val="100"/>
                <w:position w:val="0"/>
                <w:shd w:val="clear" w:color="auto" w:fill="auto"/>
                <w:lang w:val="en-US" w:eastAsia="en-US" w:bidi="en-US"/>
              </w:rPr>
              <w:t>at 10.03 feet afore the or</w:t>
              <w:softHyphen/>
              <w:t xml:space="preserve">dinate </w:t>
            </w:r>
            <w:r>
              <w:rPr>
                <w:rFonts w:ascii="Arial" w:eastAsia="Arial" w:hAnsi="Arial" w:cs="Arial"/>
                <w:color w:val="000000"/>
                <w:spacing w:val="0"/>
                <w:w w:val="100"/>
                <w:position w:val="0"/>
                <w:sz w:val="12"/>
                <w:szCs w:val="12"/>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0 ≈ 6, cube of which is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 and 2i6×4∙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w:t>
            </w:r>
          </w:p>
        </w:tc>
      </w:tr>
      <w:tr>
        <w:trPr>
          <w:trHeight w:val="281"/>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59∙442</w:t>
            </w:r>
          </w:p>
        </w:tc>
      </w:tr>
      <w:tr>
        <w:trPr>
          <w:trHeight w:val="295"/>
        </w:trPr>
        <w:tc>
          <w:tcPr>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between the ordinates</w:t>
            </w: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10.03</w:t>
            </w:r>
          </w:p>
        </w:tc>
      </w:tr>
      <w:tr>
        <w:trPr>
          <w:trHeight w:val="281"/>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Product</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1162070.20326</w:t>
            </w:r>
          </w:p>
        </w:tc>
      </w:tr>
      <w:tr>
        <w:trPr>
          <w:trHeight w:val="173"/>
        </w:trPr>
        <w:tc>
          <w:tcPr>
            <w:vMerge w:val="restart"/>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Half the cube or the aftermoſt ordinate</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tc>
        <w:tc>
          <w:tcPr>
            <w:vMerge w:val="restart"/>
            <w:tcBorders/>
            <w:shd w:val="clear" w:color="auto" w:fill="FFFFFF"/>
            <w:vAlign w:val="top"/>
          </w:tcPr>
          <w:p>
            <w:pPr>
              <w:widowControl w:val="0"/>
              <w:rPr>
                <w:sz w:val="10"/>
                <w:szCs w:val="10"/>
              </w:rPr>
            </w:pPr>
          </w:p>
        </w:tc>
      </w:tr>
      <w:tr>
        <w:trPr>
          <w:trHeight w:val="191"/>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r>
      <w:tr>
        <w:trPr>
          <w:trHeight w:val="194"/>
        </w:trPr>
        <w:tc>
          <w:tcPr>
            <w:vMerge w:val="restart"/>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Half the cube of the thickneſs of the item</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w:t>
            </w:r>
          </w:p>
        </w:tc>
        <w:tc>
          <w:tcPr>
            <w:vMerge w:val="restart"/>
            <w:tcBorders/>
            <w:shd w:val="clear" w:color="auto" w:fill="FFFFFF"/>
            <w:vAlign w:val="top"/>
          </w:tcPr>
          <w:p>
            <w:pPr>
              <w:widowControl w:val="0"/>
              <w:rPr>
                <w:sz w:val="10"/>
                <w:szCs w:val="10"/>
              </w:rPr>
            </w:pPr>
          </w:p>
        </w:tc>
      </w:tr>
      <w:tr>
        <w:trPr>
          <w:trHeight w:val="310"/>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r>
      <w:tr>
        <w:trPr>
          <w:trHeight w:val="284"/>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widowControl w:val="0"/>
              <w:rPr>
                <w:sz w:val="10"/>
                <w:szCs w:val="10"/>
              </w:rPr>
            </w:pPr>
          </w:p>
        </w:tc>
      </w:tr>
      <w:tr>
        <w:trPr>
          <w:trHeight w:val="277"/>
        </w:trPr>
        <w:tc>
          <w:tcPr>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between the ordinates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widowControl w:val="0"/>
              <w:rPr>
                <w:sz w:val="10"/>
                <w:szCs w:val="10"/>
              </w:rPr>
            </w:pPr>
          </w:p>
        </w:tc>
      </w:tr>
      <w:tr>
        <w:trPr>
          <w:trHeight w:val="288"/>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Product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ββ</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96,42</w:t>
            </w:r>
          </w:p>
        </w:tc>
      </w:tr>
      <w:tr>
        <w:trPr>
          <w:trHeight w:val="191"/>
        </w:trPr>
        <w:tc>
          <w:tcPr>
            <w:vMerge w:val="restart"/>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Half the cube of the foremoſt ordinate</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 ∙</w:t>
            </w:r>
          </w:p>
        </w:tc>
        <w:tc>
          <w:tcPr>
            <w:vMerge/>
            <w:tcBorders/>
            <w:shd w:val="clear" w:color="auto" w:fill="FFFFFF"/>
            <w:vAlign w:val="center"/>
          </w:tcPr>
          <w:p>
            <w:pPr/>
          </w:p>
        </w:tc>
      </w:tr>
      <w:tr>
        <w:trPr>
          <w:trHeight w:val="191"/>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widowControl w:val="0"/>
              <w:rPr>
                <w:sz w:val="10"/>
                <w:szCs w:val="10"/>
              </w:rPr>
            </w:pPr>
          </w:p>
        </w:tc>
      </w:tr>
      <w:tr>
        <w:trPr>
          <w:trHeight w:val="194"/>
        </w:trPr>
        <w:tc>
          <w:tcPr>
            <w:vMerge w:val="restart"/>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Half the cube of the thickneſs of the item</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vMerge w:val="restart"/>
            <w:tcBorders/>
            <w:shd w:val="clear" w:color="auto" w:fill="FFFFFF"/>
            <w:vAlign w:val="top"/>
          </w:tcPr>
          <w:p>
            <w:pPr>
              <w:widowControl w:val="0"/>
              <w:rPr>
                <w:sz w:val="10"/>
                <w:szCs w:val="10"/>
              </w:rPr>
            </w:pPr>
          </w:p>
        </w:tc>
      </w:tr>
      <w:tr>
        <w:trPr>
          <w:trHeight w:val="292"/>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top"/>
          </w:tcPr>
          <w:p>
            <w:pPr/>
          </w:p>
        </w:tc>
      </w:tr>
      <w:tr>
        <w:trPr>
          <w:trHeight w:val="288"/>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Iθ8.14</w:t>
            </w:r>
          </w:p>
        </w:tc>
        <w:tc>
          <w:tcPr>
            <w:tcBorders/>
            <w:shd w:val="clear" w:color="auto" w:fill="FFFFFF"/>
            <w:vAlign w:val="top"/>
          </w:tcPr>
          <w:p>
            <w:pPr>
              <w:widowControl w:val="0"/>
              <w:rPr>
                <w:sz w:val="10"/>
                <w:szCs w:val="10"/>
              </w:rPr>
            </w:pPr>
          </w:p>
        </w:tc>
      </w:tr>
      <w:tr>
        <w:trPr>
          <w:trHeight w:val="288"/>
        </w:trPr>
        <w:tc>
          <w:tcPr>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between the ordinates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shd w:val="clear" w:color="auto" w:fill="FFFFFF"/>
            <w:vAlign w:val="top"/>
          </w:tcPr>
          <w:p>
            <w:pPr>
              <w:widowControl w:val="0"/>
              <w:rPr>
                <w:sz w:val="10"/>
                <w:szCs w:val="10"/>
              </w:rPr>
            </w:pPr>
          </w:p>
        </w:tc>
      </w:tr>
      <w:tr>
        <w:trPr>
          <w:trHeight w:val="418"/>
        </w:trPr>
        <w:tc>
          <w:tcPr>
            <w:tcBorders/>
            <w:shd w:val="clear" w:color="auto" w:fill="FFFFFF"/>
            <w:vAlign w:val="center"/>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Product</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746458"/>
                <w:spacing w:val="0"/>
                <w:w w:val="100"/>
                <w:position w:val="0"/>
                <w:shd w:val="clear" w:color="auto" w:fill="auto"/>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594-77</w:t>
            </w:r>
          </w:p>
        </w:tc>
      </w:tr>
      <w:tr>
        <w:trPr>
          <w:trHeight w:val="382"/>
        </w:trPr>
        <w:tc>
          <w:tcPr>
            <w:tcBorders/>
            <w:shd w:val="clear" w:color="auto" w:fill="FFFFFF"/>
            <w:vAlign w:val="center"/>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162761.39326'</w:t>
            </w:r>
          </w:p>
        </w:tc>
      </w:tr>
      <w:tr>
        <w:trPr>
          <w:trHeight w:val="382"/>
        </w:trPr>
        <w:tc>
          <w:tcPr>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ay&gt;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2325522.7865s</w:t>
            </w:r>
          </w:p>
        </w:tc>
      </w:tr>
      <w:tr>
        <w:trPr>
          <w:trHeight w:val="324"/>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τ∕j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775174.26217</w:t>
            </w:r>
          </w:p>
        </w:tc>
      </w:tr>
      <w:tr>
        <w:trPr>
          <w:trHeight w:val="238"/>
        </w:trPr>
        <w:tc>
          <w:tcPr>
            <w:gridSpan w:val="3"/>
            <w:vMerge w:val="restart"/>
            <w:tcBorders/>
            <w:shd w:val="clear" w:color="auto" w:fill="FFFFFF"/>
            <w:vAlign w:val="bottom"/>
          </w:tcPr>
          <w:p>
            <w:pPr>
              <w:pStyle w:val="Style6"/>
              <w:keepNext w:val="0"/>
              <w:keepLines w:val="0"/>
              <w:widowControl w:val="0"/>
              <w:shd w:val="clear" w:color="auto" w:fill="auto"/>
              <w:tabs>
                <w:tab w:pos="908" w:val="left"/>
                <w:tab w:pos="1379" w:val="left"/>
              </w:tabs>
              <w:bidi w:val="0"/>
              <w:spacing w:line="28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ſoh’dityof the bottom is 2527⅛ tons = 7001 8.6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 ,. r .</w:t>
              <w:tab/>
              <w:t>1</w:t>
              <w:tab/>
            </w:r>
            <w:r>
              <w:rPr>
                <w:rFonts w:ascii="Times New Roman" w:eastAsia="Times New Roman" w:hAnsi="Times New Roman" w:cs="Times New Roman"/>
                <w:i/>
                <w:iCs/>
                <w:color w:val="000000"/>
                <w:spacing w:val="0"/>
                <w:w w:val="100"/>
                <w:position w:val="0"/>
                <w:shd w:val="clear" w:color="auto" w:fill="auto"/>
                <w:lang w:val="en-US" w:eastAsia="en-US" w:bidi="en-US"/>
              </w:rPr>
              <w:t>y∕y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3χ</w:t>
            </w:r>
          </w:p>
          <w:p>
            <w:pPr>
              <w:pStyle w:val="Style6"/>
              <w:keepNext w:val="0"/>
              <w:keepLines w:val="0"/>
              <w:widowControl w:val="0"/>
              <w:shd w:val="clear" w:color="auto" w:fill="auto"/>
              <w:tabs>
                <w:tab w:pos="200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cubic feet: hence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ab/>
              <w:t xml:space="preserve">_ </w:t>
            </w:r>
            <w:r>
              <w:rPr>
                <w:rFonts w:ascii="Times New Roman" w:eastAsia="Times New Roman" w:hAnsi="Times New Roman" w:cs="Times New Roman"/>
                <w:color w:val="000000"/>
                <w:spacing w:val="0"/>
                <w:w w:val="100"/>
                <w:position w:val="0"/>
                <w:shd w:val="clear" w:color="auto" w:fill="auto"/>
                <w:vertAlign w:val="subscript"/>
                <w:lang w:val="en-US" w:eastAsia="en-US" w:bidi="en-US"/>
              </w:rPr>
              <w:t>700j8 67</w:t>
            </w:r>
            <w:r>
              <w:rPr>
                <w:rFonts w:ascii="Times New Roman" w:eastAsia="Times New Roman" w:hAnsi="Times New Roman" w:cs="Times New Roman"/>
                <w:color w:val="000000"/>
                <w:spacing w:val="0"/>
                <w:w w:val="100"/>
                <w:position w:val="0"/>
                <w:shd w:val="clear" w:color="auto" w:fill="auto"/>
                <w:lang w:val="en-US" w:eastAsia="en-US" w:bidi="en-US"/>
              </w:rPr>
              <w:t xml:space="preserve"> = U.07 feet,</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altitude of the metacenter above the centre of gra</w:t>
              <w:softHyphen/>
              <w:t>vity of the bottom of the ſhip.</w:t>
            </w:r>
          </w:p>
        </w:tc>
      </w:tr>
      <w:tr>
        <w:trPr>
          <w:trHeight w:val="418"/>
        </w:trPr>
        <w:tc>
          <w:tcPr>
            <w:gridSpan w:val="3"/>
            <w:vMerge/>
            <w:tcBorders/>
            <w:shd w:val="clear" w:color="auto" w:fill="FFFFFF"/>
            <w:vAlign w:val="bottom"/>
          </w:tcPr>
          <w:p>
            <w:pPr/>
          </w:p>
        </w:tc>
      </w:tr>
      <w:tr>
        <w:trPr>
          <w:trHeight w:val="176"/>
        </w:trPr>
        <w:tc>
          <w:tcPr>
            <w:gridSpan w:val="3"/>
            <w:vMerge/>
            <w:tcBorders/>
            <w:shd w:val="clear" w:color="auto" w:fill="FFFFFF"/>
            <w:vAlign w:val="bottom"/>
          </w:tcPr>
          <w:p>
            <w:pPr/>
          </w:p>
        </w:tc>
      </w:tr>
      <w:tr>
        <w:trPr>
          <w:trHeight w:val="238"/>
        </w:trPr>
        <w:tc>
          <w:tcPr>
            <w:gridSpan w:val="3"/>
            <w:vMerge/>
            <w:tcBorders/>
            <w:shd w:val="clear" w:color="auto" w:fill="FFFFFF"/>
            <w:vAlign w:val="bottom"/>
          </w:tcPr>
          <w:p>
            <w:pPr/>
          </w:p>
        </w:tc>
      </w:tr>
    </w:tbl>
    <w:p>
      <w:pPr>
        <w:widowControl w:val="0"/>
        <w:spacing w:after="459" w:line="1" w:lineRule="exact"/>
      </w:pP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APPENDIX.</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a ſhip is built, ſhe must be fitted with maſts, yards, sails, ropes, and blocks, or, in other words, ſhe must be </w:t>
      </w:r>
      <w:r>
        <w:rPr>
          <w:rFonts w:ascii="Times New Roman" w:eastAsia="Times New Roman" w:hAnsi="Times New Roman" w:cs="Times New Roman"/>
          <w:i/>
          <w:iCs/>
          <w:color w:val="000000"/>
          <w:spacing w:val="0"/>
          <w:w w:val="100"/>
          <w:position w:val="0"/>
          <w:shd w:val="clear" w:color="auto" w:fill="auto"/>
          <w:lang w:val="en-US" w:eastAsia="en-US" w:bidi="en-US"/>
        </w:rPr>
        <w:t>tigged</w:t>
      </w:r>
      <w:r>
        <w:rPr>
          <w:rFonts w:ascii="Times New Roman" w:eastAsia="Times New Roman" w:hAnsi="Times New Roman" w:cs="Times New Roman"/>
          <w:color w:val="000000"/>
          <w:spacing w:val="0"/>
          <w:w w:val="100"/>
          <w:position w:val="0"/>
          <w:shd w:val="clear" w:color="auto" w:fill="auto"/>
          <w:lang w:val="en-US" w:eastAsia="en-US" w:bidi="en-US"/>
        </w:rPr>
        <w:t xml:space="preserve"> before ſhe can go to ſea. To complete this article, it may therefore be thought neceſſary to treat of the art of rigging veſſels ; but we have elſewhere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MAST-Rigging,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Rope-Making,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Sail)</w:t>
      </w:r>
      <w:r>
        <w:rPr>
          <w:rFonts w:ascii="Times New Roman" w:eastAsia="Times New Roman" w:hAnsi="Times New Roman" w:cs="Times New Roman"/>
          <w:color w:val="000000"/>
          <w:spacing w:val="0"/>
          <w:w w:val="100"/>
          <w:position w:val="0"/>
          <w:shd w:val="clear" w:color="auto" w:fill="auto"/>
          <w:lang w:val="en-US" w:eastAsia="en-US" w:bidi="en-US"/>
        </w:rPr>
        <w:t xml:space="preserve"> ſhown how the ſeveral parts of a ſhip’s rigging are made ; and the art of putting them proper</w:t>
        <w:softHyphen/>
        <w:t xml:space="preserve">ly together, ſo as to make the ſhip beſt anſwer the purpoſe for which ſhe is intended, depends upon a juſt knowledge of the impulſe and reſiſtance of fluids, and of the theory and practice of ſeamanſhip. (See </w:t>
      </w:r>
      <w:r>
        <w:rPr>
          <w:rFonts w:ascii="Times New Roman" w:eastAsia="Times New Roman" w:hAnsi="Times New Roman" w:cs="Times New Roman"/>
          <w:i/>
          <w:iCs/>
          <w:color w:val="000000"/>
          <w:spacing w:val="0"/>
          <w:w w:val="100"/>
          <w:position w:val="0"/>
          <w:shd w:val="clear" w:color="auto" w:fill="auto"/>
          <w:lang w:val="en-US" w:eastAsia="en-US" w:bidi="en-US"/>
        </w:rPr>
        <w:t>RESISTANCE of Fluids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Seamanship).</w:t>
      </w:r>
      <w:r>
        <w:rPr>
          <w:rFonts w:ascii="Times New Roman" w:eastAsia="Times New Roman" w:hAnsi="Times New Roman" w:cs="Times New Roman"/>
          <w:color w:val="000000"/>
          <w:spacing w:val="0"/>
          <w:w w:val="100"/>
          <w:position w:val="0"/>
          <w:shd w:val="clear" w:color="auto" w:fill="auto"/>
          <w:lang w:val="en-US" w:eastAsia="en-US" w:bidi="en-US"/>
        </w:rPr>
        <w:t xml:space="preserve"> Nothing, therefore, of the ſubject is left to us here, except we were to ſtate in few words the progreſſive method of rigging ſhips ; but there is no one undeviating mode which is pursued, as the nature of the operation is such that all the parts of it may be advancing at the ſame time. We ſhall there</w:t>
        <w:softHyphen/>
        <w:t>fore take our leave of ship</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sh</w:t>
      </w:r>
      <w:r>
        <w:rPr>
          <w:rFonts w:ascii="Times New Roman" w:eastAsia="Times New Roman" w:hAnsi="Times New Roman" w:cs="Times New Roman"/>
          <w:i/>
          <w:iCs/>
          <w:color w:val="000000"/>
          <w:spacing w:val="0"/>
          <w:w w:val="100"/>
          <w:position w:val="0"/>
          <w:shd w:val="clear" w:color="auto" w:fill="auto"/>
          <w:lang w:val="en-US" w:eastAsia="en-US" w:bidi="en-US"/>
        </w:rPr>
        <w:t>ip-building</w:t>
      </w:r>
      <w:r>
        <w:rPr>
          <w:rFonts w:ascii="Times New Roman" w:eastAsia="Times New Roman" w:hAnsi="Times New Roman" w:cs="Times New Roman"/>
          <w:color w:val="000000"/>
          <w:spacing w:val="0"/>
          <w:w w:val="100"/>
          <w:position w:val="0"/>
          <w:shd w:val="clear" w:color="auto" w:fill="auto"/>
          <w:lang w:val="en-US" w:eastAsia="en-US" w:bidi="en-US"/>
        </w:rPr>
        <w:t xml:space="preserve"> with a few general obſervations 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ſail-making,</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omitted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Sail,</w:t>
      </w:r>
      <w:r>
        <w:rPr>
          <w:rFonts w:ascii="Times New Roman" w:eastAsia="Times New Roman" w:hAnsi="Times New Roman" w:cs="Times New Roman"/>
          <w:color w:val="000000"/>
          <w:spacing w:val="0"/>
          <w:w w:val="100"/>
          <w:position w:val="0"/>
          <w:shd w:val="clear" w:color="auto" w:fill="auto"/>
          <w:lang w:val="en-US" w:eastAsia="en-US" w:bidi="en-US"/>
        </w:rPr>
        <w:t xml:space="preserve"> referring our readers for farther information to the very elegant work lately publiſhed, in.</w:t>
      </w:r>
    </w:p>
    <w:sectPr>
      <w:footnotePr>
        <w:pos w:val="pageBottom"/>
        <w:numFmt w:val="decimal"/>
        <w:numRestart w:val="continuous"/>
      </w:footnotePr>
      <w:pgSz w:w="12240" w:h="15840"/>
      <w:pgMar w:top="1113" w:left="828" w:right="828" w:bottom="1664" w:header="0" w:footer="3" w:gutter="20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rFonts w:ascii="Arial" w:eastAsia="Arial" w:hAnsi="Arial" w:cs="Arial"/>
      <w:b w:val="0"/>
      <w:bCs w:val="0"/>
      <w:i w:val="0"/>
      <w:iCs w:val="0"/>
      <w:smallCaps w:val="0"/>
      <w:strike w:val="0"/>
      <w:sz w:val="12"/>
      <w:szCs w:val="12"/>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customStyle="1" w:styleId="Style2">
    <w:name w:val="Body text (9)"/>
    <w:basedOn w:val="Normal"/>
    <w:link w:val="CharStyle3"/>
    <w:pPr>
      <w:widowControl w:val="0"/>
      <w:shd w:val="clear" w:color="auto" w:fill="FFFFFF"/>
      <w:jc w:val="both"/>
    </w:pPr>
    <w:rPr>
      <w:rFonts w:ascii="Arial" w:eastAsia="Arial" w:hAnsi="Arial" w:cs="Arial"/>
      <w:b w:val="0"/>
      <w:bCs w:val="0"/>
      <w:i w:val="0"/>
      <w:iCs w:val="0"/>
      <w:smallCaps w:val="0"/>
      <w:strike w:val="0"/>
      <w:sz w:val="12"/>
      <w:szCs w:val="12"/>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