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losophical </w:t>
      </w:r>
      <w:r>
        <w:rPr>
          <w:rFonts w:ascii="Times New Roman" w:eastAsia="Times New Roman" w:hAnsi="Times New Roman" w:cs="Times New Roman"/>
          <w:color w:val="000000"/>
          <w:spacing w:val="0"/>
          <w:w w:val="100"/>
          <w:position w:val="0"/>
          <w:shd w:val="clear" w:color="auto" w:fill="auto"/>
          <w:lang w:val="en-US" w:eastAsia="en-US" w:bidi="en-US"/>
        </w:rPr>
        <w:t xml:space="preserve">Tranſactions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did he publiſh in the courſe of that time any work. His biographer has found no traces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learned labour, excepting a Treatiſe of Logarithms, which was committed to his friend Lord Paiſley (after</w:t>
        <w:softHyphen/>
        <w:t xml:space="preserve">ward Abercorn), in order to be prepared for the preſs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which probably was never printed. His health was now much impaired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relaxation became necessary, and he was di</w:t>
        <w:softHyphen/>
        <w:t>verted by new connections from the habit of ſevere ſtudy, which had diſtinguiſhed the early period of his life, and which had contributed to contract the duration of it. Hap</w:t>
        <w:softHyphen/>
        <w:t xml:space="preserve">py in the ſocial circle of domeſtic enjoyment, and devoting his attention to buſineſs or amuſement as they occurred, his application and his literary emulation ſeem to have declined. He did not long ſurvive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wife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remaining days were days of increaſing imbecillity and sorrow.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 essay entitled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Contemplatio </w:t>
      </w:r>
      <w:r>
        <w:rPr>
          <w:rFonts w:ascii="Times New Roman" w:eastAsia="Times New Roman" w:hAnsi="Times New Roman" w:cs="Times New Roman"/>
          <w:i/>
          <w:iCs/>
          <w:color w:val="000000"/>
          <w:spacing w:val="0"/>
          <w:w w:val="100"/>
          <w:position w:val="0"/>
          <w:shd w:val="clear" w:color="auto" w:fill="auto"/>
          <w:lang w:val="en-US" w:eastAsia="en-US" w:bidi="en-US"/>
        </w:rPr>
        <w:t>Philosophica,</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Sir William Young, 1793, appears to have been written about this time, and probably with a view to abſtract his mind from painful recollections and regret.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the </w:t>
      </w:r>
      <w:r>
        <w:rPr>
          <w:rFonts w:ascii="Times New Roman" w:eastAsia="Times New Roman" w:hAnsi="Times New Roman" w:cs="Times New Roman"/>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fort of a ſtrong mind, and is a moſt remarkable example of the cloſe logic of the mathematician applied to metaphyſics. But the blow was too deep at heart for ſtudy to af</w:t>
        <w:softHyphen/>
        <w:t xml:space="preserve">ford more than temporary relief. The very reſource was hurtful, and intenſe ſtudy but accelerated the decline of his health. His friends offered every comfort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particular Lord Bolingbroke preſſed his consolation, and sought to call his mind from regret of domeſtic endearments to ſocial friendſhip at Dawley.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attention and kindneſs of his friends, however, could not ward off the approaches of dissolution.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survived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wife little more than a year, Dr Brook Taylor died of a decline in the 46th year of his age, De</w:t>
        <w:softHyphen/>
        <w:t>cember the 29th 1731, and was buried in the church-yard of St Ann’s, Soho. I am spared (says his deſcendant) the neceſſity of closing this biographical ſketch with a prolix de</w:t>
        <w:softHyphen/>
        <w:t xml:space="preserve">tail of his character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beſt acceptation of duties rela</w:t>
        <w:softHyphen/>
        <w:t>tive to each ſituation of life in which he was engaged, his own writings, and the writings of thoſe who beſt knew him, prove him to have been the finiſhed Chriſtian, gentleman, and ſcholar.”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Taylor</w:t>
      </w:r>
      <w:r>
        <w:rPr>
          <w:rFonts w:ascii="Times New Roman" w:eastAsia="Times New Roman" w:hAnsi="Times New Roman" w:cs="Times New Roman"/>
          <w:color w:val="000000"/>
          <w:spacing w:val="0"/>
          <w:w w:val="100"/>
          <w:position w:val="0"/>
          <w:shd w:val="clear" w:color="auto" w:fill="auto"/>
          <w:lang w:val="en-US" w:eastAsia="en-US" w:bidi="en-US"/>
        </w:rPr>
        <w:t xml:space="preserve"> (Dr John), a learned dissenting miniſter, born in Lancaſhire. He ſettled firſt at Kirkſtead in Lincoln- ſhire, where he preached to a ſmall congregation, and taught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grammar-ſchool for near 20 years. Afterward he remo</w:t>
        <w:softHyphen/>
        <w:t xml:space="preserve">ved to Norwich, where he preached many years in great repute, until he was invited to ſuperintend the academy formed at Warrington in Lancaſhire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few idle diffe</w:t>
        <w:softHyphen/>
        <w:t xml:space="preserve">rences on formal punctilios and uncertain doctrines kindled into ſuch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flame there, as subjected him to much scurrility and ill treatment, and endangered the very being of the academy. He died in </w:t>
      </w:r>
      <w:r>
        <w:rPr>
          <w:rFonts w:ascii="Times New Roman" w:eastAsia="Times New Roman" w:hAnsi="Times New Roman" w:cs="Times New Roman"/>
          <w:color w:val="000000"/>
          <w:spacing w:val="0"/>
          <w:w w:val="100"/>
          <w:position w:val="0"/>
          <w:shd w:val="clear" w:color="auto" w:fill="auto"/>
          <w:lang w:val="de-DE" w:eastAsia="de-DE" w:bidi="de-DE"/>
        </w:rPr>
        <w:t xml:space="preserve">1761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among ſeveral other ju</w:t>
        <w:softHyphen/>
        <w:t xml:space="preserve">dicious performances, his Hebrew and Engliſh Concordance,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 will remain a monument of his critical ſkill and indefatigable induſtry.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Taylor</w:t>
      </w:r>
      <w:r>
        <w:rPr>
          <w:rFonts w:ascii="Times New Roman" w:eastAsia="Times New Roman" w:hAnsi="Times New Roman" w:cs="Times New Roman"/>
          <w:i/>
          <w:iCs/>
          <w:color w:val="000000"/>
          <w:spacing w:val="0"/>
          <w:w w:val="100"/>
          <w:position w:val="0"/>
          <w:shd w:val="clear" w:color="auto" w:fill="auto"/>
          <w:lang w:val="en-US" w:eastAsia="en-US" w:bidi="en-US"/>
        </w:rPr>
        <w:t>-Bird.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Motacilla.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TEA, the dried leaves of the tea plant.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 com</w:t>
        <w:softHyphen/>
        <w:t>modity with which we are ſo well acquainted, which af</w:t>
        <w:softHyphen/>
        <w:t>fords a beverage ſo generally uſed and ſo generally agree</w:t>
        <w:softHyphen/>
        <w:t>able, and which forms ſo conſiderable an article of com</w:t>
        <w:softHyphen/>
        <w:t xml:space="preserve">merce, muſt excite the curioſity of the public at large to know something of its hiſtory, and of the nature of the </w:t>
      </w:r>
      <w:r>
        <w:rPr>
          <w:rFonts w:ascii="Times New Roman" w:eastAsia="Times New Roman" w:hAnsi="Times New Roman" w:cs="Times New Roman"/>
          <w:color w:val="000000"/>
          <w:spacing w:val="0"/>
          <w:w w:val="100"/>
          <w:position w:val="0"/>
          <w:shd w:val="clear" w:color="auto" w:fill="auto"/>
          <w:lang w:val="en-US" w:eastAsia="en-US" w:bidi="en-US"/>
        </w:rPr>
        <w:t xml:space="preserve">plant from which it is obtained. We are sorry that we can neither gratify their curioſity nor our own completely, We have conſulted all the botanical books to which we had acceſs, and we believe we have had access to the beſt, yet we have not been able to diſcover with certainty whether there be various ſpecies of the tea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whether all the dif</w:t>
        <w:softHyphen/>
        <w:t>ferent kinds of tea, so unlike to one another in their fla</w:t>
        <w:softHyphen/>
        <w:t xml:space="preserve">vour, and ſtrength, and colour, be derived from one single ſpecies. As an apology for this imperfection in botanical knowledge, it is proper to obſerve, that the country of which the tea plant is a native is hidden from the exploring eye of the philosopher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is jealous of Europeans, and ſeldom gives them an opportunity of ſtudying its produc</w:t>
        <w:softHyphen/>
        <w:t>tions. While we apologize for the ignorance of Europeans in this point, and sincerely regret it, we ſhall be careful to ſelect every important fact, that we may preſent our read</w:t>
        <w:softHyphen/>
        <w:t>ers with as accurate and complete an account as our mate</w:t>
        <w:softHyphen/>
        <w:t>rials can ſupply.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tea plant is a native of Japan, China, and Tonquin, and has not, as far as we can learn, been found growing ſpontaneouſly in any other parts of the world. Linnaeus ar</w:t>
        <w:softHyphen/>
        <w:t xml:space="preserve">ranged it under the claſs of </w:t>
      </w:r>
      <w:r>
        <w:rPr>
          <w:rFonts w:ascii="Times New Roman" w:eastAsia="Times New Roman" w:hAnsi="Times New Roman" w:cs="Times New Roman"/>
          <w:i/>
          <w:iCs/>
          <w:color w:val="000000"/>
          <w:spacing w:val="0"/>
          <w:w w:val="100"/>
          <w:position w:val="0"/>
          <w:shd w:val="clear" w:color="auto" w:fill="auto"/>
          <w:lang w:val="la-001" w:eastAsia="la-001" w:bidi="la-001"/>
        </w:rPr>
        <w:t>polyandria,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We are told he was led into this miſtake from having no ſpecimens of the flower to examine but such as were dri</w:t>
        <w:softHyphen/>
        <w:t xml:space="preserve">ed. If Linnaeus has in this arrangement fallen into error, it is ſurprising that he has not been corrected by one who had the beſt opportunity of examining the matter. Sir Charles Thunberg, one of the moſt diſtinguiſhed pupils of that illuſtrious botanistg, who resided 16 months in Batavia and Japan, has given a full botanical deſcription of the tea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claſſed it in the ſame manner as his ma</w:t>
        <w:softHyphen/>
        <w:t xml:space="preserve">tter, says expreſsly that it has only one ſtyle. Several of the Britiſh botaniſts, on the other hand, </w:t>
      </w:r>
      <w:r>
        <w:rPr>
          <w:rFonts w:ascii="Times New Roman" w:eastAsia="Times New Roman" w:hAnsi="Times New Roman" w:cs="Times New Roman"/>
          <w:color w:val="000000"/>
          <w:spacing w:val="0"/>
          <w:w w:val="100"/>
          <w:position w:val="0"/>
          <w:shd w:val="clear" w:color="auto" w:fill="auto"/>
          <w:lang w:val="la-001" w:eastAsia="la-001" w:bidi="la-001"/>
        </w:rPr>
        <w:t>refer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to the order of </w:t>
      </w:r>
      <w:r>
        <w:rPr>
          <w:rFonts w:ascii="Times New Roman" w:eastAsia="Times New Roman" w:hAnsi="Times New Roman" w:cs="Times New Roman"/>
          <w:i/>
          <w:iCs/>
          <w:color w:val="000000"/>
          <w:spacing w:val="0"/>
          <w:w w:val="100"/>
          <w:position w:val="0"/>
          <w:shd w:val="clear" w:color="auto" w:fill="auto"/>
          <w:lang w:val="en-US" w:eastAsia="en-US" w:bidi="en-US"/>
        </w:rPr>
        <w:t>trigynia;</w:t>
      </w:r>
      <w:r>
        <w:rPr>
          <w:rFonts w:ascii="Times New Roman" w:eastAsia="Times New Roman" w:hAnsi="Times New Roman" w:cs="Times New Roman"/>
          <w:color w:val="000000"/>
          <w:spacing w:val="0"/>
          <w:w w:val="100"/>
          <w:position w:val="0"/>
          <w:shd w:val="clear" w:color="auto" w:fill="auto"/>
          <w:lang w:val="en-US" w:eastAsia="en-US" w:bidi="en-US"/>
        </w:rPr>
        <w:t xml:space="preserve"> deriving their authority from a plant in the Duke of Northumberland’s garden at Sion-houſe, which had three ſtyles.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Linnæus s</w:t>
      </w:r>
      <w:r>
        <w:rPr>
          <w:rFonts w:ascii="Times New Roman" w:eastAsia="Times New Roman" w:hAnsi="Times New Roman" w:cs="Times New Roman"/>
          <w:color w:val="000000"/>
          <w:spacing w:val="0"/>
          <w:w w:val="100"/>
          <w:position w:val="0"/>
          <w:shd w:val="clear" w:color="auto" w:fill="auto"/>
          <w:lang w:val="en-US" w:eastAsia="en-US" w:bidi="en-US"/>
        </w:rPr>
        <w:t xml:space="preserve">ays that there are two ſpecies of the tea plant; the </w:t>
      </w:r>
      <w:r>
        <w:rPr>
          <w:rFonts w:ascii="Times New Roman" w:eastAsia="Times New Roman" w:hAnsi="Times New Roman" w:cs="Times New Roman"/>
          <w:i/>
          <w:iCs/>
          <w:color w:val="000000"/>
          <w:spacing w:val="0"/>
          <w:w w:val="100"/>
          <w:position w:val="0"/>
          <w:shd w:val="clear" w:color="auto" w:fill="auto"/>
          <w:lang w:val="en-US" w:eastAsia="en-US" w:bidi="en-US"/>
        </w:rPr>
        <w:t>bohea,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of which has six petals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viri</w:t>
      </w:r>
      <w:r>
        <w:rPr>
          <w:rFonts w:ascii="Times New Roman" w:eastAsia="Times New Roman" w:hAnsi="Times New Roman" w:cs="Times New Roman"/>
          <w:i/>
          <w:iCs/>
          <w:color w:val="000000"/>
          <w:spacing w:val="0"/>
          <w:w w:val="100"/>
          <w:position w:val="0"/>
          <w:shd w:val="clear" w:color="auto" w:fill="auto"/>
          <w:lang w:val="en-US" w:eastAsia="en-US" w:bidi="en-US"/>
        </w:rPr>
        <w:t>dis</w:t>
      </w:r>
      <w:r>
        <w:rPr>
          <w:rFonts w:ascii="Times New Roman" w:eastAsia="Times New Roman" w:hAnsi="Times New Roman" w:cs="Times New Roman"/>
          <w:color w:val="000000"/>
          <w:spacing w:val="0"/>
          <w:w w:val="100"/>
          <w:position w:val="0"/>
          <w:shd w:val="clear" w:color="auto" w:fill="auto"/>
          <w:lang w:val="en-US" w:eastAsia="en-US" w:bidi="en-US"/>
        </w:rPr>
        <w:t xml:space="preserve"> or green tea, which has nine petals. Thunberg makes only one ſpecies, the bohea, consiſting of two varieties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with broad and the other with narrow leaves. This botaniſt’s authority is deciſive reſpecting the Japaneſe tea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China has not yet been explored, we cannot determine what number of ſpecies there are in that country. Of the bohea plant we have been favoured with a beautiful drawing, and an accurate botanical deſcription, by a learned gentleman, which we ſhall here preſent to our readers.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Calyx.</w:t>
      </w:r>
      <w:r>
        <w:rPr>
          <w:rFonts w:ascii="Times New Roman" w:eastAsia="Times New Roman" w:hAnsi="Times New Roman" w:cs="Times New Roman"/>
          <w:color w:val="000000"/>
          <w:spacing w:val="0"/>
          <w:w w:val="100"/>
          <w:position w:val="0"/>
          <w:shd w:val="clear" w:color="auto" w:fill="auto"/>
          <w:lang w:val="en-US" w:eastAsia="en-US" w:bidi="en-US"/>
        </w:rPr>
        <w:t xml:space="preserve"> K, fig. 1, 2, 3, 10. a perianthium </w:t>
      </w:r>
      <w:r>
        <w:rPr>
          <w:rFonts w:ascii="Times New Roman" w:eastAsia="Times New Roman" w:hAnsi="Times New Roman" w:cs="Times New Roman"/>
          <w:color w:val="000000"/>
          <w:spacing w:val="0"/>
          <w:w w:val="100"/>
          <w:position w:val="0"/>
          <w:shd w:val="clear" w:color="auto" w:fill="auto"/>
          <w:lang w:val="la-001" w:eastAsia="la-001" w:bidi="la-001"/>
        </w:rPr>
        <w:t>quinquepar</w:t>
        <w:softHyphen/>
        <w:t xml:space="preserve">tite, </w:t>
      </w:r>
      <w:r>
        <w:rPr>
          <w:rFonts w:ascii="Times New Roman" w:eastAsia="Times New Roman" w:hAnsi="Times New Roman" w:cs="Times New Roman"/>
          <w:color w:val="000000"/>
          <w:spacing w:val="0"/>
          <w:w w:val="100"/>
          <w:position w:val="0"/>
          <w:shd w:val="clear" w:color="auto" w:fill="auto"/>
          <w:lang w:val="en-US" w:eastAsia="en-US" w:bidi="en-US"/>
        </w:rPr>
        <w:t>very ſmall, flat, the ſegments round, obtuſe, permanent. Fig.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Corolla.</w:t>
      </w:r>
      <w:r>
        <w:rPr>
          <w:rFonts w:ascii="Times New Roman" w:eastAsia="Times New Roman" w:hAnsi="Times New Roman" w:cs="Times New Roman"/>
          <w:color w:val="000000"/>
          <w:spacing w:val="0"/>
          <w:w w:val="100"/>
          <w:position w:val="0"/>
          <w:shd w:val="clear" w:color="auto" w:fill="auto"/>
          <w:lang w:val="en-US" w:eastAsia="en-US" w:bidi="en-US"/>
        </w:rPr>
        <w:t xml:space="preserve"> C, fig. I, 3, 4, 5, 7, 8. the petals ſix, roundiſh, concave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exterior (fig. 4, 7.) CC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leſs, unequal, incloſing the flower before fully blown (fig. 3.) C; four interior (fig. 5, 6.) CCCC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equal, before they fall off </w:t>
      </w:r>
      <w:r>
        <w:rPr>
          <w:rFonts w:ascii="Times New Roman" w:eastAsia="Times New Roman" w:hAnsi="Times New Roman" w:cs="Times New Roman"/>
          <w:color w:val="000000"/>
          <w:spacing w:val="0"/>
          <w:w w:val="100"/>
          <w:position w:val="0"/>
          <w:shd w:val="clear" w:color="auto" w:fill="auto"/>
          <w:lang w:val="la-001" w:eastAsia="la-001" w:bidi="la-001"/>
        </w:rPr>
        <w:t xml:space="preserve">recurvate </w:t>
      </w:r>
      <w:r>
        <w:rPr>
          <w:rFonts w:ascii="Times New Roman" w:eastAsia="Times New Roman" w:hAnsi="Times New Roman" w:cs="Times New Roman"/>
          <w:color w:val="000000"/>
          <w:spacing w:val="0"/>
          <w:w w:val="100"/>
          <w:position w:val="0"/>
          <w:shd w:val="clear" w:color="auto" w:fill="auto"/>
          <w:lang w:val="en-US" w:eastAsia="en-US" w:bidi="en-US"/>
        </w:rPr>
        <w:t xml:space="preserve">(fig. 8.) CC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Stamens. f,</w:t>
      </w:r>
      <w:r>
        <w:rPr>
          <w:rFonts w:ascii="Times New Roman" w:eastAsia="Times New Roman" w:hAnsi="Times New Roman" w:cs="Times New Roman"/>
          <w:color w:val="000000"/>
          <w:spacing w:val="0"/>
          <w:w w:val="100"/>
          <w:position w:val="0"/>
          <w:shd w:val="clear" w:color="auto" w:fill="auto"/>
          <w:lang w:val="en-US" w:eastAsia="en-US" w:bidi="en-US"/>
        </w:rPr>
        <w:t xml:space="preserve"> fig. 6, 9, 10, 11</w:t>
      </w:r>
      <w:r>
        <w:rPr>
          <w:rFonts w:ascii="Times New Roman" w:eastAsia="Times New Roman" w:hAnsi="Times New Roman" w:cs="Times New Roman"/>
          <w:smallCaps/>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filaments numerous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6, 9</w:t>
      </w:r>
      <w:r>
        <w:rPr>
          <w:rFonts w:ascii="Times New Roman" w:eastAsia="Times New Roman" w:hAnsi="Times New Roman" w:cs="Times New Roman"/>
          <w:i/>
          <w:iCs/>
          <w:color w:val="000000"/>
          <w:spacing w:val="0"/>
          <w:w w:val="100"/>
          <w:position w:val="0"/>
          <w:shd w:val="clear" w:color="auto" w:fill="auto"/>
          <w:lang w:val="en-US" w:eastAsia="en-US" w:bidi="en-US"/>
        </w:rPr>
        <w:t xml:space="preserve">. f 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200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filiform, white, ſhorter than the corolla, and inſerted in the receptacle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antheras cordate; and didymous (fig. 10, 11.), magnified @@(C).</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93" w:left="796" w:right="796" w:bottom="1273" w:header="0" w:footer="3" w:gutter="1324"/>
          <w:cols w:space="720"/>
          <w:noEndnote/>
          <w:rtlGutter/>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Pistillum.</w:t>
      </w:r>
      <w:r>
        <w:rPr>
          <w:rFonts w:ascii="Times New Roman" w:eastAsia="Times New Roman" w:hAnsi="Times New Roman" w:cs="Times New Roman"/>
          <w:color w:val="000000"/>
          <w:spacing w:val="0"/>
          <w:w w:val="100"/>
          <w:position w:val="0"/>
          <w:shd w:val="clear" w:color="auto" w:fill="auto"/>
          <w:lang w:val="en-US" w:eastAsia="en-US" w:bidi="en-US"/>
        </w:rPr>
        <w:t xml:space="preserve"> Fig.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 12. magnified;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 xml:space="preserve">three globular bodies joined in a triangular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ſtyles, three, connected at their base (fig. 12.)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tabulate,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Thunberg ſays, that three of the petals are exterior and three inferior.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a flower received from J. Ellis, Eſq; upwards of 280 filaments were told.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 Kempſer deſcribes the antheras as single.</w:t>
      </w:r>
    </w:p>
    <w:sectPr>
      <w:footnotePr>
        <w:pos w:val="pageBottom"/>
        <w:numFmt w:val="decimal"/>
        <w:numRestart w:val="continuous"/>
      </w:footnotePr>
      <w:type w:val="continuous"/>
      <w:pgSz w:w="12240" w:h="15840"/>
      <w:pgMar w:top="1087" w:left="788" w:right="788" w:bottom="1087" w:header="0" w:footer="3" w:gutter="14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