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 diſbelieve that doctrine. It is however to be remem</w:t>
        <w:softHyphen/>
      </w:r>
      <w:r>
        <w:rPr>
          <w:rFonts w:ascii="Times New Roman" w:eastAsia="Times New Roman" w:hAnsi="Times New Roman" w:cs="Times New Roman"/>
          <w:color w:val="000000"/>
          <w:spacing w:val="0"/>
          <w:w w:val="100"/>
          <w:position w:val="0"/>
          <w:shd w:val="clear" w:color="auto" w:fill="auto"/>
          <w:lang w:val="en-US" w:eastAsia="en-US" w:bidi="en-US"/>
        </w:rPr>
        <w:t>bered, that all our notions oſ God are more or leſs analo</w:t>
        <w:softHyphen/>
        <w:t xml:space="preserve">gical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muſt be expreſſed in words which, literally interpreted, are applicable only to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propositions understood in this literal ſenſe may involve an appa</w:t>
        <w:softHyphen/>
        <w:t>rent contradiction, from which the truth meant to be ex</w:t>
        <w:softHyphen/>
        <w:t xml:space="preserve">preſſed by them would be ſeen to be free, had we direct and adequate conceptions of the divine nature. On this account it is to be wiſhed that men treating of the myſtery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holy Trinity, had always expreſſed themſelves in ſcripture language, and never aimed at being wiſe beyond what is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since they have acted otherwiſe, we muſt, in juſtice to our readers, animadvert upon one or two ſtatements of this doctrine, which we have reaſon to believe are earneſtly contended for by ſome who conſider 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only orthodox.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ſcriptures, the three perſons are denominated by the terms </w:t>
      </w:r>
      <w:r>
        <w:rPr>
          <w:rFonts w:ascii="Times New Roman" w:eastAsia="Times New Roman" w:hAnsi="Times New Roman" w:cs="Times New Roman"/>
          <w:smallCaps/>
          <w:color w:val="000000"/>
          <w:spacing w:val="0"/>
          <w:w w:val="100"/>
          <w:position w:val="0"/>
          <w:shd w:val="clear" w:color="auto" w:fill="auto"/>
          <w:lang w:val="en-US" w:eastAsia="en-US" w:bidi="en-US"/>
        </w:rPr>
        <w:t>Father, Son,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or by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smallCaps/>
          <w:color w:val="000000"/>
          <w:spacing w:val="0"/>
          <w:w w:val="100"/>
          <w:position w:val="0"/>
          <w:shd w:val="clear" w:color="auto" w:fill="auto"/>
          <w:lang w:val="en-US" w:eastAsia="en-US" w:bidi="en-US"/>
        </w:rPr>
        <w:t>word,</w:t>
      </w:r>
      <w:r>
        <w:rPr>
          <w:rFonts w:ascii="Times New Roman" w:eastAsia="Times New Roman" w:hAnsi="Times New Roman" w:cs="Times New Roman"/>
          <w:color w:val="000000"/>
          <w:spacing w:val="0"/>
          <w:w w:val="100"/>
          <w:position w:val="0"/>
          <w:shd w:val="clear" w:color="auto" w:fill="auto"/>
          <w:lang w:val="en-US" w:eastAsia="en-US" w:bidi="en-US"/>
        </w:rPr>
        <w:t xml:space="preserve"> who is alſo declared to be God, and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Spirit of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smallCap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each be truly God, it is obvious that they muſt all have the ſame divine nature, just as every man has the ſame human nature with every other man; and if there be but </w:t>
      </w:r>
      <w:r>
        <w:rPr>
          <w:rFonts w:ascii="Times New Roman" w:eastAsia="Times New Roman" w:hAnsi="Times New Roman" w:cs="Times New Roman"/>
          <w:smallCaps/>
          <w:color w:val="000000"/>
          <w:spacing w:val="0"/>
          <w:w w:val="100"/>
          <w:position w:val="0"/>
          <w:shd w:val="clear" w:color="auto" w:fill="auto"/>
          <w:lang w:val="en-US" w:eastAsia="en-US" w:bidi="en-US"/>
        </w:rPr>
        <w:t>one God,</w:t>
      </w:r>
      <w:r>
        <w:rPr>
          <w:rFonts w:ascii="Times New Roman" w:eastAsia="Times New Roman" w:hAnsi="Times New Roman" w:cs="Times New Roman"/>
          <w:color w:val="000000"/>
          <w:spacing w:val="0"/>
          <w:w w:val="100"/>
          <w:position w:val="0"/>
          <w:shd w:val="clear" w:color="auto" w:fill="auto"/>
          <w:lang w:val="en-US" w:eastAsia="en-US" w:bidi="en-US"/>
        </w:rPr>
        <w:t xml:space="preserve"> it is equally obvious that they muſt be of the ſame individual ſubſtance or eſſence, which no three men can poſſibly be. In this there is a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will be ſeen by and by, there is no contradiction. The very terms F</w:t>
      </w:r>
      <w:r>
        <w:rPr>
          <w:rFonts w:ascii="Times New Roman" w:eastAsia="Times New Roman" w:hAnsi="Times New Roman" w:cs="Times New Roman"/>
          <w:smallCaps/>
          <w:color w:val="000000"/>
          <w:spacing w:val="0"/>
          <w:w w:val="100"/>
          <w:position w:val="0"/>
          <w:shd w:val="clear" w:color="auto" w:fill="auto"/>
          <w:lang w:val="en-US" w:eastAsia="en-US" w:bidi="en-US"/>
        </w:rPr>
        <w:t>ather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imply ſuch a relation between the two perlons so denominated, as that though they are of the ſame ſubſtance, poſſessed of the ſame attributes, and equally God, juſt as a human father and his ſon are equally men, yet the ſecond muſt be perſonally ſubordinate to the firſt. In like manner, the </w:t>
      </w:r>
      <w:r>
        <w:rPr>
          <w:rFonts w:ascii="Times New Roman" w:eastAsia="Times New Roman" w:hAnsi="Times New Roman" w:cs="Times New Roman"/>
          <w:smallCaps/>
          <w:color w:val="000000"/>
          <w:spacing w:val="0"/>
          <w:w w:val="100"/>
          <w:position w:val="0"/>
          <w:shd w:val="clear" w:color="auto" w:fill="auto"/>
          <w:lang w:val="en-US" w:eastAsia="en-US" w:bidi="en-US"/>
        </w:rPr>
        <w:t>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who is called the Spirit of God, and is ſaid to </w:t>
      </w:r>
      <w:r>
        <w:rPr>
          <w:rFonts w:ascii="Times New Roman" w:eastAsia="Times New Roman" w:hAnsi="Times New Roman" w:cs="Times New Roman"/>
          <w:i/>
          <w:iCs/>
          <w:color w:val="000000"/>
          <w:spacing w:val="0"/>
          <w:w w:val="100"/>
          <w:position w:val="0"/>
          <w:shd w:val="clear" w:color="auto" w:fill="auto"/>
          <w:lang w:val="en-US" w:eastAsia="en-US" w:bidi="en-US"/>
        </w:rPr>
        <w:t>proceed from</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Father,</w:t>
      </w:r>
      <w:r>
        <w:rPr>
          <w:rFonts w:ascii="Times New Roman" w:eastAsia="Times New Roman" w:hAnsi="Times New Roman" w:cs="Times New Roman"/>
          <w:color w:val="000000"/>
          <w:spacing w:val="0"/>
          <w:w w:val="100"/>
          <w:position w:val="0"/>
          <w:shd w:val="clear" w:color="auto" w:fill="auto"/>
          <w:lang w:val="en-US" w:eastAsia="en-US" w:bidi="en-US"/>
        </w:rPr>
        <w:t xml:space="preserve"> and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ſent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muſt be conceived as ſubordinate to both, much in the ſame way as a ſon is ſubordinate to his parents, tho’ poſſessed of equal or even of ſuperior powers. That this is the true doctrine, appears to us undeniable from the words of our Saviour himſelf, who, in a prayer addreſſed to his Father, ſtyles@@* him by way of pre-eminence,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only true God,” as being the fountain or origin of the Godhead from which the Son and the Holy Ghoſt derive their true divinity. In like manner, St Paul, when oppoſing the polytheiſm of the Greeks, says expreſsly@@*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us there is but one God, </w:t>
      </w:r>
      <w:r>
        <w:rPr>
          <w:rFonts w:ascii="Times New Roman" w:eastAsia="Times New Roman" w:hAnsi="Times New Roman" w:cs="Times New Roman"/>
          <w:smallCaps/>
          <w:color w:val="000000"/>
          <w:spacing w:val="0"/>
          <w:w w:val="100"/>
          <w:position w:val="0"/>
          <w:shd w:val="clear" w:color="auto" w:fill="auto"/>
          <w:lang w:val="en-US" w:eastAsia="en-US" w:bidi="en-US"/>
        </w:rPr>
        <w:t>the Father, of</w:t>
      </w:r>
      <w:r>
        <w:rPr>
          <w:rFonts w:ascii="Times New Roman" w:eastAsia="Times New Roman" w:hAnsi="Times New Roman" w:cs="Times New Roman"/>
          <w:color w:val="000000"/>
          <w:spacing w:val="0"/>
          <w:w w:val="100"/>
          <w:position w:val="0"/>
          <w:shd w:val="clear" w:color="auto" w:fill="auto"/>
          <w:lang w:val="en-US" w:eastAsia="en-US" w:bidi="en-US"/>
        </w:rPr>
        <w:t xml:space="preserve"> whom are all things, and we in, or for, him; and one </w:t>
      </w:r>
      <w:r>
        <w:rPr>
          <w:rFonts w:ascii="Times New Roman" w:eastAsia="Times New Roman" w:hAnsi="Times New Roman" w:cs="Times New Roman"/>
          <w:smallCaps/>
          <w:color w:val="000000"/>
          <w:spacing w:val="0"/>
          <w:w w:val="100"/>
          <w:position w:val="0"/>
          <w:shd w:val="clear" w:color="auto" w:fill="auto"/>
          <w:lang w:val="en-US" w:eastAsia="en-US" w:bidi="en-US"/>
        </w:rPr>
        <w:t>Lord Jesus Christ, by</w:t>
      </w:r>
      <w:r>
        <w:rPr>
          <w:rFonts w:ascii="Times New Roman" w:eastAsia="Times New Roman" w:hAnsi="Times New Roman" w:cs="Times New Roman"/>
          <w:color w:val="000000"/>
          <w:spacing w:val="0"/>
          <w:w w:val="100"/>
          <w:position w:val="0"/>
          <w:shd w:val="clear" w:color="auto" w:fill="auto"/>
          <w:lang w:val="en-US" w:eastAsia="en-US" w:bidi="en-US"/>
        </w:rPr>
        <w:t xml:space="preserve"> whom are all things, and we by him.”</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primitive fathers of the Chriſtian church main</w:t>
        <w:softHyphen/>
        <w:t>tained this ſubordination of the ſecond and third perſons of the blessed Trinity to the firſt, has been evinced with ſuch complete evidence by biſhop Bull, that we do not per</w:t>
        <w:softHyphen/>
        <w:t xml:space="preserve">ceive how any man can read his works and entertain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doubt on the ſubject. We ſhall tranſcribe two quotations from him, and refer the reader for fuller ſatisfaction to sect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 of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Defensio fidei Nicenae.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firſt ſhall be a passage cited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Novation,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whoever is the author of the book on the Trinity publiſhed among the works of Tertullian, in which the learned prelate aſſures us the ſenſe of all the ancients is expreſſed.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Quia quid eſt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non </w:t>
      </w:r>
      <w:r>
        <w:rPr>
          <w:rFonts w:ascii="Times New Roman" w:eastAsia="Times New Roman" w:hAnsi="Times New Roman" w:cs="Times New Roman"/>
          <w:color w:val="000000"/>
          <w:spacing w:val="0"/>
          <w:w w:val="100"/>
          <w:position w:val="0"/>
          <w:sz w:val="17"/>
          <w:szCs w:val="17"/>
          <w:shd w:val="clear" w:color="auto" w:fill="auto"/>
          <w:lang w:val="en-US" w:eastAsia="en-US" w:bidi="en-US"/>
        </w:rPr>
        <w:t>ex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eſt, quia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nec innatus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ſed ex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patre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quia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geni</w:t>
        <w:softHyphen/>
        <w:t xml:space="preserve">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five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verbum eſt, five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dum virtus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five dum ſapientia eſt, five dum lux eſt, sive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dum Filius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quic- quid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horum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non aliunde eſt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quam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Patre, Patri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originem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ſuam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debens.”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next is from Athanaſius,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never been accuſed of holding low opinions respecting the ſecond perſon of the holy Trinity. This father, in his fifth diſcourſe againſt the Arians, ſays, </w:t>
      </w:r>
      <w:r>
        <w:rPr>
          <w:rFonts w:ascii="Times New Roman" w:eastAsia="Times New Roman" w:hAnsi="Times New Roman" w:cs="Times New Roman"/>
          <w:color w:val="000000"/>
          <w:spacing w:val="0"/>
          <w:w w:val="100"/>
          <w:position w:val="0"/>
          <w:sz w:val="17"/>
          <w:szCs w:val="17"/>
          <w:shd w:val="clear" w:color="auto" w:fill="auto"/>
          <w:lang w:val="en-US" w:eastAsia="en-US" w:bidi="en-US"/>
        </w:rPr>
        <w:t>ϰαlα</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γαρ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τo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Ιωαννην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εv τ</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αυlη</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τη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αρχη</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ηv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ό</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λογος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ϰαι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ό</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λογος,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ην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προς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τov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θεο</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Θεος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γαρ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εοlιν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ή</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αρχη,</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ϰαι</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επειδαν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εξ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αυlης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εοlι,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δια</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τoυτo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ϰαι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θεος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ην λογος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according to John, the word was in this first prin</w:t>
        <w:softHyphen/>
        <w:t>ciple,</w:t>
      </w:r>
    </w:p>
    <w:p>
      <w:pPr>
        <w:pStyle w:val="Style2"/>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and the word was God. For God is the principle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and becauſe the word is from the principle, therefore the word is God.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Agreeably to this doctrine, the Nicene fathers, in the creed which they publiſhed for the uſe of the uni</w:t>
        <w:softHyphen/>
        <w:t xml:space="preserve">versal church, style the only begotten Son,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God of God </w:t>
      </w:r>
      <w:r>
        <w:rPr>
          <w:rFonts w:ascii="Times New Roman" w:eastAsia="Times New Roman" w:hAnsi="Times New Roman" w:cs="Times New Roman"/>
          <w:color w:val="000000"/>
          <w:spacing w:val="0"/>
          <w:w w:val="100"/>
          <w:position w:val="0"/>
          <w:sz w:val="17"/>
          <w:szCs w:val="17"/>
          <w:shd w:val="clear" w:color="auto" w:fill="auto"/>
          <w:lang w:val="en-US" w:eastAsia="en-US" w:bidi="en-US"/>
        </w:rPr>
        <w:t>θεος εϰ θεου</w:t>
      </w:r>
      <w:r>
        <w:rPr>
          <w:rStyle w:val="CharStyle8"/>
          <w:rFonts w:ascii="Arial" w:eastAsia="Arial" w:hAnsi="Arial" w:cs="Arial"/>
          <w:smallCaps/>
          <w:sz w:val="9"/>
          <w:szCs w:val="9"/>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Regardless however of antiquity, and, as we think, of the plain ſenſe of ſcripture, ſome modern divines of great learn</w:t>
        <w:softHyphen/>
        <w:t xml:space="preserve">ing contend, that the three perſons in Deity are all </w:t>
      </w:r>
      <w:r>
        <w:rPr>
          <w:rFonts w:ascii="Times New Roman" w:eastAsia="Times New Roman" w:hAnsi="Times New Roman" w:cs="Times New Roman"/>
          <w:i/>
          <w:iCs/>
          <w:color w:val="000000"/>
          <w:spacing w:val="0"/>
          <w:w w:val="100"/>
          <w:position w:val="0"/>
          <w:shd w:val="clear" w:color="auto" w:fill="auto"/>
          <w:lang w:val="en-US" w:eastAsia="en-US" w:bidi="en-US"/>
        </w:rPr>
        <w:t>coηsubstantial, co-eternal, co-ordinate,</w:t>
      </w:r>
      <w:r>
        <w:rPr>
          <w:rFonts w:ascii="Times New Roman" w:eastAsia="Times New Roman" w:hAnsi="Times New Roman" w:cs="Times New Roman"/>
          <w:color w:val="000000"/>
          <w:spacing w:val="0"/>
          <w:w w:val="100"/>
          <w:position w:val="0"/>
          <w:shd w:val="clear" w:color="auto" w:fill="auto"/>
          <w:lang w:val="en-US" w:eastAsia="en-US" w:bidi="en-US"/>
        </w:rPr>
        <w:t xml:space="preserve"> without </w:t>
      </w:r>
      <w:r>
        <w:rPr>
          <w:rFonts w:ascii="Times New Roman" w:eastAsia="Times New Roman" w:hAnsi="Times New Roman" w:cs="Times New Roman"/>
          <w:i/>
          <w:iCs/>
          <w:color w:val="000000"/>
          <w:spacing w:val="0"/>
          <w:w w:val="100"/>
          <w:position w:val="0"/>
          <w:shd w:val="clear" w:color="auto" w:fill="auto"/>
          <w:lang w:val="en-US" w:eastAsia="en-US" w:bidi="en-US"/>
        </w:rPr>
        <w:t>derivation, ſubordina</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dependence,</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any sort,</w:t>
      </w:r>
      <w:r>
        <w:rPr>
          <w:rFonts w:ascii="Times New Roman" w:eastAsia="Times New Roman" w:hAnsi="Times New Roman" w:cs="Times New Roman"/>
          <w:color w:val="000000"/>
          <w:spacing w:val="0"/>
          <w:w w:val="100"/>
          <w:position w:val="0"/>
          <w:shd w:val="clear" w:color="auto" w:fill="auto"/>
          <w:lang w:val="en-US" w:eastAsia="en-US" w:bidi="en-US"/>
        </w:rPr>
        <w:t xml:space="preserve"> as to nature or eſſence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others affirm, that the ſecond and third perſons derive from the firſt their personality, but not their nature. We ſhall conſider theſe opinions as different, though, from the obſcurity of the language in which we have always ſeen them expressed, we cannot be certain but they may be one and the ſame. The maintainers of the former opinion hold, that the three perſons called </w:t>
      </w:r>
      <w:r>
        <w:rPr>
          <w:rFonts w:ascii="Times New Roman" w:eastAsia="Times New Roman" w:hAnsi="Times New Roman" w:cs="Times New Roman"/>
          <w:i/>
          <w:iCs/>
          <w:color w:val="000000"/>
          <w:spacing w:val="0"/>
          <w:w w:val="100"/>
          <w:position w:val="0"/>
          <w:shd w:val="clear" w:color="auto" w:fill="auto"/>
          <w:lang w:val="en-US" w:eastAsia="en-US" w:bidi="en-US"/>
        </w:rPr>
        <w:t>Elohim</w:t>
      </w:r>
      <w:r>
        <w:rPr>
          <w:rFonts w:ascii="Times New Roman" w:eastAsia="Times New Roman" w:hAnsi="Times New Roman" w:cs="Times New Roman"/>
          <w:color w:val="000000"/>
          <w:spacing w:val="0"/>
          <w:w w:val="100"/>
          <w:position w:val="0"/>
          <w:shd w:val="clear" w:color="auto" w:fill="auto"/>
          <w:lang w:val="en-US" w:eastAsia="en-US" w:bidi="en-US"/>
        </w:rPr>
        <w:t xml:space="preserve"> in the Old Teſtament, naturally independent on each other, entered into an agree</w:t>
        <w:softHyphen/>
        <w:t xml:space="preserve">ment before the creation of the world, that one of them ſhould in the fulneſs of time assume human nature, for the purpoſe of redeeming mankind from that miſery into which it was foreſeen that they would fall. This antemundane agreement, they add, conſtitutes the whole of that paternal and filial relation which ſubſiſts between the firſt and ſecond perſons whom we denominate Father and Son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hold, that the Son is ſaid to be begotten before all worlds, to indicate that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who was before all worlds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begotten, </w:t>
      </w:r>
      <w:r>
        <w:rPr>
          <w:rFonts w:ascii="Times New Roman" w:eastAsia="Times New Roman" w:hAnsi="Times New Roman" w:cs="Times New Roman"/>
          <w:color w:val="000000"/>
          <w:spacing w:val="0"/>
          <w:w w:val="100"/>
          <w:position w:val="0"/>
          <w:shd w:val="clear" w:color="auto" w:fill="auto"/>
          <w:lang w:val="en-US" w:eastAsia="en-US" w:bidi="en-US"/>
        </w:rPr>
        <w:t xml:space="preserve">or to </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begotten, into the office of redeemer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more deciſively, to signify that he undertook that office before the creation, and </w:t>
      </w:r>
      <w:r>
        <w:rPr>
          <w:rFonts w:ascii="Times New Roman" w:eastAsia="Times New Roman" w:hAnsi="Times New Roman" w:cs="Times New Roman"/>
          <w:i/>
          <w:iCs/>
          <w:color w:val="000000"/>
          <w:spacing w:val="0"/>
          <w:w w:val="100"/>
          <w:position w:val="0"/>
          <w:shd w:val="clear" w:color="auto" w:fill="auto"/>
          <w:lang w:val="en-US" w:eastAsia="en-US" w:bidi="en-US"/>
        </w:rPr>
        <w:t>aſſumed</w:t>
      </w:r>
      <w:r>
        <w:rPr>
          <w:rFonts w:ascii="Times New Roman" w:eastAsia="Times New Roman" w:hAnsi="Times New Roman" w:cs="Times New Roman"/>
          <w:color w:val="000000"/>
          <w:spacing w:val="0"/>
          <w:w w:val="100"/>
          <w:position w:val="0"/>
          <w:shd w:val="clear" w:color="auto" w:fill="auto"/>
          <w:lang w:val="en-US" w:eastAsia="en-US" w:bidi="en-US"/>
        </w:rPr>
        <w:t xml:space="preserve"> to himſelf ſome appearance or figure of the reality in which he was to execute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is called </w:t>
      </w:r>
      <w:r>
        <w:rPr>
          <w:rFonts w:ascii="Times New Roman" w:eastAsia="Times New Roman" w:hAnsi="Times New Roman" w:cs="Times New Roman"/>
          <w:color w:val="000000"/>
          <w:spacing w:val="0"/>
          <w:w w:val="100"/>
          <w:position w:val="0"/>
          <w:shd w:val="clear" w:color="auto" w:fill="auto"/>
          <w:lang w:val="en-US" w:eastAsia="en-US" w:bidi="en-US"/>
        </w:rPr>
        <w:t>μονογενης</w:t>
      </w:r>
      <w:r>
        <w:rPr>
          <w:rFonts w:ascii="Times New Roman" w:eastAsia="Times New Roman" w:hAnsi="Times New Roman" w:cs="Times New Roman"/>
          <w:color w:val="000000"/>
          <w:spacing w:val="0"/>
          <w:w w:val="100"/>
          <w:position w:val="0"/>
          <w:shd w:val="clear" w:color="auto" w:fill="auto"/>
          <w:lang w:val="en-US" w:eastAsia="en-US" w:bidi="en-US"/>
        </w:rPr>
        <w:t xml:space="preserve"> or the only begotten, becauſe he </w:t>
      </w:r>
      <w:r>
        <w:rPr>
          <w:rFonts w:ascii="Times New Roman" w:eastAsia="Times New Roman" w:hAnsi="Times New Roman" w:cs="Times New Roman"/>
          <w:i/>
          <w:iCs/>
          <w:color w:val="000000"/>
          <w:spacing w:val="0"/>
          <w:w w:val="100"/>
          <w:position w:val="0"/>
          <w:shd w:val="clear" w:color="auto" w:fill="auto"/>
          <w:lang w:val="en-US" w:eastAsia="en-US" w:bidi="en-US"/>
        </w:rPr>
        <w:t>alone</w:t>
      </w:r>
      <w:r>
        <w:rPr>
          <w:rFonts w:ascii="Times New Roman" w:eastAsia="Times New Roman" w:hAnsi="Times New Roman" w:cs="Times New Roman"/>
          <w:color w:val="000000"/>
          <w:spacing w:val="0"/>
          <w:w w:val="100"/>
          <w:position w:val="0"/>
          <w:shd w:val="clear" w:color="auto" w:fill="auto"/>
          <w:lang w:val="en-US" w:eastAsia="en-US" w:bidi="en-US"/>
        </w:rPr>
        <w:t xml:space="preserve"> was begotten into the office of redeemer@@*.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many of our readers we doubt not but this will ap</w:t>
        <w:softHyphen/>
        <w:t>pear a very extraordinary doctrine, and not eaſy to be re</w:t>
        <w:softHyphen/>
        <w:t xml:space="preserve">conciled with the unity of God. It is however sufficiently overturned by two ſentences of holy ſcripture, about the meaning of which there can be no diſpute.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(ſays St John@@*) was manifeſted the love of God towards us, becauſe that God ſent his only begotten Son into the world, that we might live through him.” Taking the word so</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its uſual acceptation, this was certainly a wonderful degree of love in the Father of mercies to send into the world on our account a person ſo nearly related to him as an only 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we ſubſtitute this novel interpretation of the words </w:t>
      </w:r>
      <w:r>
        <w:rPr>
          <w:rFonts w:ascii="Times New Roman" w:eastAsia="Times New Roman" w:hAnsi="Times New Roman" w:cs="Times New Roman"/>
          <w:i/>
          <w:iCs/>
          <w:color w:val="000000"/>
          <w:spacing w:val="0"/>
          <w:w w:val="100"/>
          <w:position w:val="0"/>
          <w:shd w:val="clear" w:color="auto" w:fill="auto"/>
          <w:lang w:val="en-US" w:eastAsia="en-US" w:bidi="en-US"/>
        </w:rPr>
        <w:t>only begotten son</w:t>
      </w:r>
      <w:r>
        <w:rPr>
          <w:rFonts w:ascii="Times New Roman" w:eastAsia="Times New Roman" w:hAnsi="Times New Roman" w:cs="Times New Roman"/>
          <w:color w:val="000000"/>
          <w:spacing w:val="0"/>
          <w:w w:val="100"/>
          <w:position w:val="0"/>
          <w:shd w:val="clear" w:color="auto" w:fill="auto"/>
          <w:lang w:val="en-US" w:eastAsia="en-US" w:bidi="en-US"/>
        </w:rPr>
        <w:t xml:space="preserve"> in their ſtead, the apoſtle’s reaſoning will loſe all its force. St John will then be made to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was manifeſted the love of God toward us, be</w:t>
        <w:softHyphen/>
        <w:t>cauſe that God ſent a divine perſon equal to himſelf, and no way related to him, but who had before the creation cove</w:t>
        <w:softHyphen/>
        <w:t xml:space="preserve">nanted to come into the world, that we might live through him.” Is this a proof of the love of the perſon here called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Again, the inſpired author of the epiſtle to the He</w:t>
        <w:softHyphen/>
        <w:t xml:space="preserve">brews, treating of our Saviour’s prieſthood, ſays, among other things expreſſive of his humiliation,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he was a </w:t>
      </w:r>
      <w:r>
        <w:rPr>
          <w:rFonts w:ascii="Times New Roman" w:eastAsia="Times New Roman" w:hAnsi="Times New Roman" w:cs="Times New Roman"/>
          <w:smallCap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yet learned he obedience (or, as others would render the words </w:t>
      </w:r>
      <w:r>
        <w:rPr>
          <w:rFonts w:ascii="Times New Roman" w:eastAsia="Times New Roman" w:hAnsi="Times New Roman" w:cs="Times New Roman"/>
          <w:color w:val="000000"/>
          <w:spacing w:val="0"/>
          <w:w w:val="100"/>
          <w:position w:val="0"/>
          <w:shd w:val="clear" w:color="auto" w:fill="auto"/>
          <w:lang w:val="en-US" w:eastAsia="en-US" w:bidi="en-US"/>
        </w:rPr>
        <w:t>ευαθεν ύπαϰοην,</w:t>
      </w:r>
      <w:r>
        <w:rPr>
          <w:rFonts w:ascii="Times New Roman" w:eastAsia="Times New Roman" w:hAnsi="Times New Roman" w:cs="Times New Roman"/>
          <w:color w:val="000000"/>
          <w:spacing w:val="0"/>
          <w:w w:val="100"/>
          <w:position w:val="0"/>
          <w:shd w:val="clear" w:color="auto" w:fill="auto"/>
          <w:lang w:val="en-US" w:eastAsia="en-US" w:bidi="en-US"/>
        </w:rPr>
        <w:t xml:space="preserve"> he taught obedience) by the things which he ſuffered@@*.” If the word so</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 here underſtood in its proper ſenſe, this verſe diſplays in a very ſtriking manner the condeſcension of our divine Redeemer, who, though he was no leſs a perſon than the proper Son of God by nature, yet vouchſafed to learn or teach us obe</w:t>
        <w:softHyphen/>
        <w:t xml:space="preserve">dience by the things which he ſuffered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we ſubſtitute this metaphorical ſonſhip in place of the natural, the reaſon</w:t>
        <w:softHyphen/>
        <w:t xml:space="preserve">ing of the author (for that he is reaſoning cannot be denied) will be very extraordinary.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this divine perſonage agreed before all worlds to ſuffer death for the </w:t>
      </w:r>
      <w:r>
        <w:rPr>
          <w:rFonts w:ascii="Times New Roman" w:eastAsia="Times New Roman" w:hAnsi="Times New Roman" w:cs="Times New Roman"/>
          <w:color w:val="000000"/>
          <w:spacing w:val="0"/>
          <w:w w:val="100"/>
          <w:position w:val="0"/>
          <w:shd w:val="clear" w:color="auto" w:fill="auto"/>
          <w:lang w:val="en-US" w:eastAsia="en-US" w:bidi="en-US"/>
        </w:rPr>
        <w:t>redemption of man, yet learned he obedience, or yet taught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John xvii.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viii.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Ridgeley's Body of Divinity.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John iv.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v. 8.</w:t>
      </w: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lang w:val="1024"/>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