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god, in form of a spear or fork with three teeth; whence the word.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TRIENNIAL, an epithet applied chiefly to officers or employments which laſt for three years.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TRIENS,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antiquity, a copper money of the value of one third of 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on one side bore a Janus’s head, and on the other a water rat.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TRIENTALIS,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Chickweed wγnter-green,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w:t>
        <w:softHyphen/>
        <w:t xml:space="preserve">tany: A genus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heptan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monogymia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natural ſyſtem ranging under the 20th order,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Rotaceœ.</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calyx is heptaphyllous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corolla is equal and plane, and is divided into ſeven ſegments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berry is unilocular and dry. There is only one ſpecies,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europaea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is indigenous, and the only uenus of heptandria that is ſo.</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ſtalk is ſingle, five or six inches high, terminated with five, six, or ſeven, oval pointed leaves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from the centre of which ariſe on long footſtalks commonly two white ſtarry flowers, each generally conſiſting of ſeven oval and equal pe</w:t>
        <w:softHyphen/>
        <w:t>tals, ſucceeded by a globular dry berry, covered with a thin white rind, having one cell, and containing ſeveral angular seeds.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TRIERS,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Treves.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Treves.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TRIFOLIUM,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Trefoil,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Clover,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A ge</w:t>
        <w:softHyphen/>
        <w:t xml:space="preserv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diadelphia,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decandria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natural ſyſtem ranging under the 32d order,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Papilionaceœ.</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flowers are generally in round heads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pod is ſcarcely longer than the calyx, univalve, not opening, deciduous. The leaves are three together. According to Murray’s edition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are 46 ſpecies; of which 17 are natives of Britain. We ſhall deſcribe some of the moſt remarkable of theſe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tabs>
          <w:tab w:pos="486"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tab/>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Meliloti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officinalis,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melilot, has naked racemous pods, diſpermous, wrinkly, and acute, with an erect ſtalk. It grows in corn-fields and by the way-ſides, but not common. The ſtalk is erect, firm, ſtriated, branched, and two or three feet high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leaves ternate, ſmooth, obtuſely oval, and ſerrated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flowers are small, yellow, pendulous, and grow in long cloſe ſpikes at the tops of the branches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pod is very ſhort, turgid, tranſverſely wrinkled, pendulous, and contains either one or two ſeeds. The plant has a very pe</w:t>
        <w:softHyphen/>
        <w:t xml:space="preserve">culiar ſtrong ſcent, and diſagreeable, bitter, acrid taſte, but ſuch, however, as is not diſagreeable to cattle. The flowers are ſweet-ſcented. It has generally been eſteemed emollient and digeſtive, and been uſed in fomentations and cataplaſms, particularly in the plaſter employed in dreſſing bliſters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is now laid aſide, as its quality is found to be rather acrid and irritating than emollient or reſolvent. It communicates a moſt loathſome flavour to wheat and other grain, ſo as to render it unfit for making bread. It grows in corn-fields.</w:t>
      </w:r>
    </w:p>
    <w:p>
      <w:pPr>
        <w:pStyle w:val="Style2"/>
        <w:keepNext w:val="0"/>
        <w:keepLines w:val="0"/>
        <w:widowControl w:val="0"/>
        <w:shd w:val="clear" w:color="auto" w:fill="auto"/>
        <w:tabs>
          <w:tab w:pos="46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Trifolium repens,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white creeping trefoil, or Dutch clo</w:t>
        <w:softHyphen/>
        <w:t xml:space="preserve">ver, has a creeping ſtalk, its flower gathered into an umbellar head, and its pods tetraſpermous. It is very common in fields and paſtures. It is well known to be excellent fodder for cattle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leaves are a good ruſtic hygrometer, as they are always relaxed and flaccid in dry weather, but erect in moiſt or rainy.</w:t>
      </w:r>
    </w:p>
    <w:p>
      <w:pPr>
        <w:pStyle w:val="Style2"/>
        <w:keepNext w:val="0"/>
        <w:keepLines w:val="0"/>
        <w:widowControl w:val="0"/>
        <w:shd w:val="clear" w:color="auto" w:fill="auto"/>
        <w:tabs>
          <w:tab w:pos="471"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Trifolium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ρratense,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purple or red clover, is diſtinguiſhed by denſe ſpikes, unequal corollas, by bearded ſtipulas, aſcending ſtalks, and by the calyx having four equal teeth. This is the botanical deſcription of this ſpecies given by Mr Afzelius, who, in a paper of the firſt volume 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Linnæan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Transactions, has been at much pains to remove three ſpecies 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trifolium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the confusion in which they have been long involved ; namely, the pratenſe, medium, and alpeſtre. The red clover is common in meadows and paſtures, and is the species which is generally cultivated as food for cattle. It abounds in every part of Europe, in North America,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even in Siberia. It delights moſt in rich, moiſt, and ſunny places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yet flouriſhes in dry, barren, and ſhady places. For an account of the mode of cultivating it,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Agricul</w:t>
        <w:softHyphen/>
        <w:t>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177.</w:t>
      </w:r>
    </w:p>
    <w:p>
      <w:pPr>
        <w:pStyle w:val="Style2"/>
        <w:keepNext w:val="0"/>
        <w:keepLines w:val="0"/>
        <w:widowControl w:val="0"/>
        <w:shd w:val="clear" w:color="auto" w:fill="auto"/>
        <w:tabs>
          <w:tab w:pos="46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Alpestre,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long-leaved purple trefoil, or mountain clover, is thus characterized by Mr Afzelius. The ſpikes are dense; the corollas ſomewhat equal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ſtipulas are briſtly and di</w:t>
        <w:softHyphen/>
        <w:t xml:space="preserve">vergent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leaflets lanceolated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ſtalks ſtiff, ſtraight, and very simple. It grows in dry, mountainous, woody places, in Hungary, Auſtria, and Bohemia, &amp;c.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is not ſaid by Mr Afzelius to be a native of Britain.</w:t>
      </w:r>
    </w:p>
    <w:p>
      <w:pPr>
        <w:pStyle w:val="Style2"/>
        <w:keepNext w:val="0"/>
        <w:keepLines w:val="0"/>
        <w:widowControl w:val="0"/>
        <w:shd w:val="clear" w:color="auto" w:fill="auto"/>
        <w:tabs>
          <w:tab w:pos="482"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medium,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according to Mr Afzelius, has alſo been confounded with the two ſpecies laſt mentioned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it is to be diſtinguiſhed from them by having looſe ſpikes, corollas ſomewhat equal, ſtipulas ſubulate and connivent, and ſtalks flexuoſe and branched. It is found in dry elevated situa</w:t>
        <w:softHyphen/>
        <w:t>tions, especially among ſhrubs, or in woods where the soil is chalky or clay, in England, Scotland, Sweden, Denmark, &amp;c.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 botanical deſcription of the other ſpecies 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trifolium,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ſee Lightfoot’s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Flora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Scotica,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Berkenhout’s Synopsis of the Natural Hiſtory of Great Britain and Ireland, and Withering’s Botanical Arrangements.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TRIGA,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antiquity, denotes a kind of carr or chariot drawn by three horſes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whence the name.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TRIGLA, in ichthyology, a genus of fiſhes belonging to the order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thoracici.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head is loricated with rough lines, and there are ſeven rays in the membranes of the gills. There are 11 ſpecies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which the principal are the gurnardus, or grey gurnard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cuculus,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red gurnard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ly</w:t>
        <w:softHyphen/>
        <w:t xml:space="preserve">ra,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piper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hirundo,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ſapphirine gurnard,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TRIGLOCHIN, in botany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genus of plants belong 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hexandria,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trigynia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natural ſyſtem ranging under the fifth order,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Tripelatoi</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deœ.</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calyx is triphyllous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petals are three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no ſtyle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capſule opens at the baſe. There are three ſpecies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which the paluſtre and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maritimum </w:t>
      </w:r>
      <w:r>
        <w:rPr>
          <w:rFonts w:ascii="Times New Roman" w:eastAsia="Times New Roman" w:hAnsi="Times New Roman" w:cs="Times New Roman"/>
          <w:color w:val="000000"/>
          <w:spacing w:val="0"/>
          <w:w w:val="100"/>
          <w:position w:val="0"/>
          <w:sz w:val="17"/>
          <w:szCs w:val="17"/>
          <w:shd w:val="clear" w:color="auto" w:fill="auto"/>
          <w:lang w:val="en-US" w:eastAsia="en-US" w:bidi="en-US"/>
        </w:rPr>
        <w:t>are Britiſh.</w:t>
      </w:r>
    </w:p>
    <w:p>
      <w:pPr>
        <w:pStyle w:val="Style2"/>
        <w:keepNext w:val="0"/>
        <w:keepLines w:val="0"/>
        <w:widowControl w:val="0"/>
        <w:shd w:val="clear" w:color="auto" w:fill="auto"/>
        <w:tabs>
          <w:tab w:pos="46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Palustre,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arrow-headed graſs, has an oblong trilocular capſule. The ſtalk is simple, eight or ten inches high; the leaves long and narrow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flowers are greenish, and grow at the end of a long ſpike. It is frequent in moiſt ground.</w:t>
      </w:r>
    </w:p>
    <w:p>
      <w:pPr>
        <w:pStyle w:val="Style2"/>
        <w:keepNext w:val="0"/>
        <w:keepLines w:val="0"/>
        <w:widowControl w:val="0"/>
        <w:shd w:val="clear" w:color="auto" w:fill="auto"/>
        <w:tabs>
          <w:tab w:pos="46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Maritimum,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ſea-ſpiked graſs, has ovate ſexlocular capſules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ſtalk is short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ſpike long, and flowers purpliſh. It is frequent on the ſea-coaſts.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z w:val="17"/>
          <w:szCs w:val="17"/>
          <w:shd w:val="clear" w:color="auto" w:fill="auto"/>
          <w:lang w:val="en-US" w:eastAsia="en-US" w:bidi="en-US"/>
        </w:rPr>
        <w:t>ſays that cattle eat theſe two ſpecies with avidity.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TRIGLYPHS, in architecture, a sort of ornaments repeated at equal intervals, in the Doric freeze.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Dialing </w:t>
      </w:r>
      <w:r>
        <w:rPr>
          <w:rFonts w:ascii="Times New Roman" w:eastAsia="Times New Roman" w:hAnsi="Times New Roman" w:cs="Times New Roman"/>
          <w:i/>
          <w:iCs/>
          <w:smallCaps/>
          <w:color w:val="000000"/>
          <w:spacing w:val="0"/>
          <w:w w:val="100"/>
          <w:position w:val="0"/>
          <w:sz w:val="17"/>
          <w:szCs w:val="17"/>
          <w:shd w:val="clear" w:color="auto" w:fill="auto"/>
          <w:lang w:val="la-001" w:eastAsia="la-001" w:bidi="la-001"/>
        </w:rPr>
        <w:t>Trigon.</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Dialing.</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TRIGONALIS.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Pila.</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TRIGONELLA,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Fenugreek,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diadelpbia,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decandria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natural ſyſtem arranged under the 32d order,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Papilionaceœ.</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vexillum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alæ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nearly equal and patent, reſembling a tripetalous corolla. There are 12 ſpecies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which the moſt remarkable 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faenumgraecum,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fenugreek, a native of Montpelier in France.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Fenugreek is an annual plant, which riſes with a hollow, branching, herbaceous ſtalk, a foot and a half long, garniſhed with trifoliate leaves, placed alternately, whoſe lobes are oblong, oval, indented on their edges, and have broad furrowed footſtalks.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Fenugreek ſeeds have a ſtrong diſagreeable smell; and an unctuous farinaceous taſte accompanied with a slight bitteriſhneſs. The principal uſe of theſe ſeeds is in cataplaſms and fomentations, for ſoftening, maturating, and diſcuſſing tumors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emollient and carminative glyſters. They are an ingredient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oleum e mucilaginibus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ſhops, to which they communicate a conſiderable ſhare of their ſmell.</w:t>
      </w:r>
    </w:p>
    <w:sectPr>
      <w:footnotePr>
        <w:pos w:val="pageBottom"/>
        <w:numFmt w:val="decimal"/>
        <w:numRestart w:val="continuous"/>
      </w:footnotePr>
      <w:pgSz w:w="12240" w:h="15840"/>
      <w:pgMar w:top="1107" w:left="855" w:right="855" w:bottom="1142" w:header="0" w:footer="3" w:gutter="12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