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opaque, and of a lamellar texture, and ſuſceptible of a fine poliſh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ſpecific gravity is from 2,5 to 2,908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are of a deep blue, ſome of a whitiſh blue, but become of a deeper when heated. This ſubſtance is found in Perſia and Languedoc. The copper may be extracted from it by diſtilled vinegar. According to Reaumur (M</w:t>
      </w:r>
      <w:r>
        <w:rPr>
          <w:rFonts w:ascii="Times New Roman" w:eastAsia="Times New Roman" w:hAnsi="Times New Roman" w:cs="Times New Roman"/>
          <w:i/>
          <w:iCs/>
          <w:color w:val="000000"/>
          <w:spacing w:val="0"/>
          <w:w w:val="100"/>
          <w:position w:val="0"/>
          <w:shd w:val="clear" w:color="auto" w:fill="auto"/>
          <w:lang w:val="en-US" w:eastAsia="en-US" w:bidi="en-US"/>
        </w:rPr>
        <w:t xml:space="preserve">em. Par. 1715) </w:t>
      </w:r>
      <w:r>
        <w:rPr>
          <w:rFonts w:ascii="Times New Roman" w:eastAsia="Times New Roman" w:hAnsi="Times New Roman" w:cs="Times New Roman"/>
          <w:color w:val="000000"/>
          <w:spacing w:val="0"/>
          <w:w w:val="100"/>
          <w:position w:val="0"/>
          <w:shd w:val="clear" w:color="auto" w:fill="auto"/>
          <w:lang w:val="en-US" w:eastAsia="en-US" w:bidi="en-US"/>
        </w:rPr>
        <w:t>nitrous acid will not diſſolve that of Perſia, though it will that of France, which ſhows a difference between them.</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TURRETIN (Francis), miniſter and professor of divi</w:t>
        <w:softHyphen/>
        <w:t xml:space="preserve">nity at Geneva, his native place, was born in 1623. Having ſtudied at Geneva, Leyden, Saumur, Montauban, and Nismes, with great ſucceſs, he was admitted into the miniſtry in 1648, and ſerved at the ſame time the French and Italian churches at Geneva. Two years after, he was offered the profeſſorſhip of philoſophy, whch he refuſed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accepted the invitation of the church of Lyons. He was recalled to Geneva at a year’s expiration, becauſe he was wanted to give lectures in divinity; which he began in 1653. He was sent to Holland in 1661, to procure money which the city of Geneva had occaſion for. He had in that journey all the ſucceſs he could promiſe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gained ſuch a character there, that he was ſtrongly importuned by the Walloon churches at the Hague and at Leyden 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enter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their ſervice. On his return he reſumed the functions of his place, and continued there till his death with remarkable application. He died in 1687, with the character of a man of great merit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eloquent, judicious, la</w:t>
        <w:softHyphen/>
        <w:t xml:space="preserve">borious, learned, and zealous for orthodoxy. His works were publiſhed by his ſon John Alphonſus, in 3 and in 4 </w:t>
      </w:r>
      <w:r>
        <w:rPr>
          <w:rFonts w:ascii="Times New Roman" w:eastAsia="Times New Roman" w:hAnsi="Times New Roman" w:cs="Times New Roman"/>
          <w:b/>
          <w:bCs/>
          <w:color w:val="000000"/>
          <w:spacing w:val="0"/>
          <w:w w:val="100"/>
          <w:position w:val="0"/>
          <w:sz w:val="16"/>
          <w:szCs w:val="16"/>
          <w:shd w:val="clear" w:color="auto" w:fill="auto"/>
          <w:lang w:val="fr-FR" w:eastAsia="fr-FR" w:bidi="fr-FR"/>
        </w:rPr>
        <w:t xml:space="preserve">vols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4to.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TURRITIS, </w:t>
      </w:r>
      <w:r>
        <w:rPr>
          <w:rFonts w:ascii="Times New Roman" w:eastAsia="Times New Roman" w:hAnsi="Times New Roman" w:cs="Times New Roman"/>
          <w:smallCaps/>
          <w:color w:val="000000"/>
          <w:spacing w:val="0"/>
          <w:w w:val="100"/>
          <w:position w:val="0"/>
          <w:shd w:val="clear" w:color="auto" w:fill="auto"/>
          <w:lang w:val="en-US" w:eastAsia="en-US" w:bidi="en-US"/>
        </w:rPr>
        <w:t>tower mustard,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ſiliquoſa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39th order, </w:t>
      </w:r>
      <w:r>
        <w:rPr>
          <w:rFonts w:ascii="Times New Roman" w:eastAsia="Times New Roman" w:hAnsi="Times New Roman" w:cs="Times New Roman"/>
          <w:i/>
          <w:iCs/>
          <w:color w:val="000000"/>
          <w:spacing w:val="0"/>
          <w:w w:val="100"/>
          <w:position w:val="0"/>
          <w:shd w:val="clear" w:color="auto" w:fill="auto"/>
          <w:lang w:val="en-US" w:eastAsia="en-US" w:bidi="en-US"/>
        </w:rPr>
        <w:t>Siliquoſae.</w:t>
      </w:r>
      <w:r>
        <w:rPr>
          <w:rFonts w:ascii="Times New Roman" w:eastAsia="Times New Roman" w:hAnsi="Times New Roman" w:cs="Times New Roman"/>
          <w:color w:val="000000"/>
          <w:spacing w:val="0"/>
          <w:w w:val="100"/>
          <w:position w:val="0"/>
          <w:shd w:val="clear" w:color="auto" w:fill="auto"/>
          <w:lang w:val="en-US" w:eastAsia="en-US" w:bidi="en-US"/>
        </w:rPr>
        <w:t xml:space="preserve"> The ſiliqua is very long and angulated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connivent and erect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also erect. There are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of which are na</w:t>
        <w:softHyphen/>
        <w:t>tives of Great Britain, the glabra and hirſuta.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TURTLE,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Testudo.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Turtle</w:t>
      </w:r>
      <w:r>
        <w:rPr>
          <w:rFonts w:ascii="Times New Roman" w:eastAsia="Times New Roman" w:hAnsi="Times New Roman" w:cs="Times New Roman"/>
          <w:i/>
          <w:iCs/>
          <w:color w:val="000000"/>
          <w:spacing w:val="0"/>
          <w:w w:val="100"/>
          <w:position w:val="0"/>
          <w:shd w:val="clear" w:color="auto" w:fill="auto"/>
          <w:lang w:val="en-US" w:eastAsia="en-US" w:bidi="en-US"/>
        </w:rPr>
        <w:t>-Dove,</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Columba.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TUSCAN </w:t>
      </w:r>
      <w:r>
        <w:rPr>
          <w:rFonts w:ascii="Times New Roman" w:eastAsia="Times New Roman" w:hAnsi="Times New Roman" w:cs="Times New Roman"/>
          <w:smallCap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See </w:t>
      </w:r>
      <w:r>
        <w:rPr>
          <w:rFonts w:ascii="Times New Roman" w:eastAsia="Times New Roman" w:hAnsi="Times New Roman" w:cs="Times New Roman"/>
          <w:smallCaps/>
          <w:color w:val="000000"/>
          <w:spacing w:val="0"/>
          <w:w w:val="100"/>
          <w:position w:val="0"/>
          <w:shd w:val="clear" w:color="auto" w:fill="auto"/>
          <w:lang w:val="en-US" w:eastAsia="en-US" w:bidi="en-US"/>
        </w:rPr>
        <w:t>Architec</w:t>
        <w:softHyphen/>
        <w:t>ture,</w:t>
      </w:r>
      <w:r>
        <w:rPr>
          <w:rFonts w:ascii="Times New Roman" w:eastAsia="Times New Roman" w:hAnsi="Times New Roman" w:cs="Times New Roman"/>
          <w:color w:val="000000"/>
          <w:spacing w:val="0"/>
          <w:w w:val="100"/>
          <w:position w:val="0"/>
          <w:shd w:val="clear" w:color="auto" w:fill="auto"/>
          <w:lang w:val="en-US" w:eastAsia="en-US" w:bidi="en-US"/>
        </w:rPr>
        <w:t xml:space="preserve"> n⁰ 42.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Tuscan</w:t>
      </w:r>
      <w:r>
        <w:rPr>
          <w:rFonts w:ascii="Times New Roman" w:eastAsia="Times New Roman" w:hAnsi="Times New Roman" w:cs="Times New Roman"/>
          <w:i/>
          <w:iCs/>
          <w:color w:val="000000"/>
          <w:spacing w:val="0"/>
          <w:w w:val="100"/>
          <w:position w:val="0"/>
          <w:shd w:val="clear" w:color="auto" w:fill="auto"/>
          <w:lang w:val="en-US" w:eastAsia="en-US" w:bidi="en-US"/>
        </w:rPr>
        <w:t xml:space="preserve"> Earth,</w:t>
      </w:r>
      <w:r>
        <w:rPr>
          <w:rFonts w:ascii="Times New Roman" w:eastAsia="Times New Roman" w:hAnsi="Times New Roman" w:cs="Times New Roman"/>
          <w:color w:val="000000"/>
          <w:spacing w:val="0"/>
          <w:w w:val="100"/>
          <w:position w:val="0"/>
          <w:shd w:val="clear" w:color="auto" w:fill="auto"/>
          <w:lang w:val="en-US" w:eastAsia="en-US" w:bidi="en-US"/>
        </w:rPr>
        <w:t xml:space="preserve"> a yellowiſh kind of hole dug in many parts of Italy, particularly about Florence, where there is a ſtratum of it eight or ten feet thick, at the depth of five or six feet from the ſurface. It is ſuppoſed to have an aſtringent property.</w:t>
      </w:r>
    </w:p>
    <w:p>
      <w:pPr>
        <w:pStyle w:val="Style2"/>
        <w:keepNext w:val="0"/>
        <w:keepLines w:val="0"/>
        <w:widowControl w:val="0"/>
        <w:shd w:val="clear" w:color="auto" w:fill="auto"/>
        <w:tabs>
          <w:tab w:pos="35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TUSCANY, a duchy of Italy, which makes part of the ancient Hetruria, excepting ſome ſmall detatched parts, is encompassed by a part of the Mediterranean, called here the </w:t>
      </w:r>
      <w:r>
        <w:rPr>
          <w:rFonts w:ascii="Times New Roman" w:eastAsia="Times New Roman" w:hAnsi="Times New Roman" w:cs="Times New Roman"/>
          <w:i/>
          <w:iCs/>
          <w:color w:val="000000"/>
          <w:spacing w:val="0"/>
          <w:w w:val="100"/>
          <w:position w:val="0"/>
          <w:shd w:val="clear" w:color="auto" w:fill="auto"/>
          <w:lang w:val="en-US" w:eastAsia="en-US" w:bidi="en-US"/>
        </w:rPr>
        <w:t>Tuscan Sea;</w:t>
      </w:r>
      <w:r>
        <w:rPr>
          <w:rFonts w:ascii="Times New Roman" w:eastAsia="Times New Roman" w:hAnsi="Times New Roman" w:cs="Times New Roman"/>
          <w:color w:val="000000"/>
          <w:spacing w:val="0"/>
          <w:w w:val="100"/>
          <w:position w:val="0"/>
          <w:shd w:val="clear" w:color="auto" w:fill="auto"/>
          <w:lang w:val="en-US" w:eastAsia="en-US" w:bidi="en-US"/>
        </w:rPr>
        <w:t xml:space="preserve"> the eccleſiaſtical ſtate ; the duchy of Mode</w:t>
        <w:softHyphen/>
        <w:t xml:space="preserve">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republic of Lucca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extent from north to ſouth being about 116 Engliſh miles, and from eaſt to west about 80.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ſome parts of it are mountainous, yet both the hills and dales are covered with vines, olives, citron, lemon, and orange trees, &amp;c. The mountains yield alſo copper, iron, alum, &amp;c. and ſome quarries of the fineſt marble and porphyry. Here is alſo plenty of corn, rice, ſaffron, honey, wax, wool, flax, hemp, with mineral waters, rich paſture, ſalt-pits, sulphur, alabaſter, chalcedony, lapis lazuli, borax, amethyſts, cornelians, jaſpers, quickſilver, cryſtals, and black slate. In ſome places the elms and aſhes yield manna.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river in Tuſcany is the Arno, which has its ſource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Appennine </w:t>
      </w:r>
      <w:r>
        <w:rPr>
          <w:rFonts w:ascii="Times New Roman" w:eastAsia="Times New Roman" w:hAnsi="Times New Roman" w:cs="Times New Roman"/>
          <w:color w:val="000000"/>
          <w:spacing w:val="0"/>
          <w:w w:val="100"/>
          <w:position w:val="0"/>
          <w:shd w:val="clear" w:color="auto" w:fill="auto"/>
          <w:lang w:val="en-US" w:eastAsia="en-US" w:bidi="en-US"/>
        </w:rPr>
        <w:t>mountains, and falls into the ſea below Piſa. There are ſome other ſmaller rivers.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duchy fell under the dominion of the Romans about 455 years before Chriſt, The Oſtrogoths posseſſed themſelves of it in the fifth century, and after them the Lom</w:t>
        <w:softHyphen/>
      </w:r>
      <w:r>
        <w:rPr>
          <w:rFonts w:ascii="Times New Roman" w:eastAsia="Times New Roman" w:hAnsi="Times New Roman" w:cs="Times New Roman"/>
          <w:color w:val="000000"/>
          <w:spacing w:val="0"/>
          <w:w w:val="100"/>
          <w:position w:val="0"/>
          <w:shd w:val="clear" w:color="auto" w:fill="auto"/>
          <w:lang w:val="en-US" w:eastAsia="en-US" w:bidi="en-US"/>
        </w:rPr>
        <w:t>bards, who were expelled by Charlemagne anno 800; in con</w:t>
        <w:softHyphen/>
        <w:t>ſequence of which it became ſubject to the German empe</w:t>
        <w:softHyphen/>
        <w:t>rors, who appointed governors over it. At last the cities of Florence, Pisa, Sienna, and ſome others, during the con</w:t>
      </w:r>
      <w:r>
        <w:rPr>
          <w:rFonts w:ascii="Times New Roman" w:eastAsia="Times New Roman" w:hAnsi="Times New Roman" w:cs="Times New Roman"/>
          <w:color w:val="000000"/>
          <w:spacing w:val="0"/>
          <w:w w:val="100"/>
          <w:position w:val="0"/>
          <w:shd w:val="clear" w:color="auto" w:fill="auto"/>
          <w:lang w:val="fr-FR" w:eastAsia="fr-FR" w:bidi="fr-FR"/>
        </w:rPr>
        <w:t xml:space="preserve">tentions </w:t>
      </w:r>
      <w:r>
        <w:rPr>
          <w:rFonts w:ascii="Times New Roman" w:eastAsia="Times New Roman" w:hAnsi="Times New Roman" w:cs="Times New Roman"/>
          <w:color w:val="000000"/>
          <w:spacing w:val="0"/>
          <w:w w:val="100"/>
          <w:position w:val="0"/>
          <w:shd w:val="clear" w:color="auto" w:fill="auto"/>
          <w:lang w:val="en-US" w:eastAsia="en-US" w:bidi="en-US"/>
        </w:rPr>
        <w:t>between the pope and the emperor, and their reſpective adherents, the Guelphs and Gibbelines, withdrew themſelves from the dominion of both, and erected them</w:t>
        <w:softHyphen/>
        <w:t xml:space="preserve">ſelves into ſeparate commonwealths. In that of Florence, John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 xml:space="preserve">a popular nobleman, ſo insinuated himſelf into the favour of his countrymen, that they inveſted him with ſovereign power. Pope Pius V. conferred the title of </w:t>
      </w:r>
      <w:r>
        <w:rPr>
          <w:rFonts w:ascii="Times New Roman" w:eastAsia="Times New Roman" w:hAnsi="Times New Roman" w:cs="Times New Roman"/>
          <w:i/>
          <w:iCs/>
          <w:color w:val="000000"/>
          <w:spacing w:val="0"/>
          <w:w w:val="100"/>
          <w:position w:val="0"/>
          <w:shd w:val="clear" w:color="auto" w:fill="auto"/>
          <w:lang w:val="en-US" w:eastAsia="en-US" w:bidi="en-US"/>
        </w:rPr>
        <w:t>grand duke</w:t>
      </w:r>
      <w:r>
        <w:rPr>
          <w:rFonts w:ascii="Times New Roman" w:eastAsia="Times New Roman" w:hAnsi="Times New Roman" w:cs="Times New Roman"/>
          <w:color w:val="000000"/>
          <w:spacing w:val="0"/>
          <w:w w:val="100"/>
          <w:position w:val="0"/>
          <w:shd w:val="clear" w:color="auto" w:fill="auto"/>
          <w:lang w:val="en-US" w:eastAsia="en-US" w:bidi="en-US"/>
        </w:rPr>
        <w:t xml:space="preserve"> on Coſmo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anno 1570, in whoſe fa</w:t>
        <w:softHyphen/>
        <w:t xml:space="preserve">mily the duchy continued until the death of Gaſton de </w:t>
      </w:r>
      <w:r>
        <w:rPr>
          <w:rFonts w:ascii="Times New Roman" w:eastAsia="Times New Roman" w:hAnsi="Times New Roman" w:cs="Times New Roman"/>
          <w:color w:val="000000"/>
          <w:spacing w:val="0"/>
          <w:w w:val="100"/>
          <w:position w:val="0"/>
          <w:shd w:val="clear" w:color="auto" w:fill="auto"/>
          <w:lang w:val="la-001" w:eastAsia="la-001" w:bidi="la-001"/>
        </w:rPr>
        <w:t>Me</w:t>
        <w:softHyphen/>
        <w:t xml:space="preserve">dicis, </w:t>
      </w:r>
      <w:r>
        <w:rPr>
          <w:rFonts w:ascii="Times New Roman" w:eastAsia="Times New Roman" w:hAnsi="Times New Roman" w:cs="Times New Roman"/>
          <w:color w:val="000000"/>
          <w:spacing w:val="0"/>
          <w:w w:val="100"/>
          <w:position w:val="0"/>
          <w:shd w:val="clear" w:color="auto" w:fill="auto"/>
          <w:lang w:val="en-US" w:eastAsia="en-US" w:bidi="en-US"/>
        </w:rPr>
        <w:t>who died anno 1737. The duchy was then transfer</w:t>
        <w:softHyphen/>
        <w:t xml:space="preserve">red to the duke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afterwards the emperor Francis</w:t>
      </w:r>
    </w:p>
    <w:p>
      <w:pPr>
        <w:pStyle w:val="Style2"/>
        <w:keepNext w:val="0"/>
        <w:keepLines w:val="0"/>
        <w:widowControl w:val="0"/>
        <w:shd w:val="clear" w:color="auto" w:fill="auto"/>
        <w:tabs>
          <w:tab w:pos="2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in lieu of the duchy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which, by the peace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1736, was given to king Staniſlaus during his life, and then was to be annexed to France. Leopold, the ſecond ſon of Francis I. and afterwards emperor of Germany, ſucceeded to this duchy. It is now enjoyed by Leopold’s ſecond ſon, brother to the preſent emperor of Germany, Francis II. The grand duke’s annual revenues are computed at about 500,000 l. ſterling, ariſing chiefly from the tenths of all eſtates that are ſold or alienated, and the ground-rents of the houſes in Leghorn, and the duties on almoſt all manner of proviſions.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duke is abſolute in his dominions. His ſtanding forces conſiſt only of three regiments of foot and two of dragoons, and his marine of a few galleys and galeasſes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caſe of neceſſity, it is ſaid he can bring 30,000 men into the field, and increaſe his marine with 20 men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appear how he can man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places are Florence, Piſa, Leghorn, Sienna, Orbitello, Piombino, and Arezzo.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TUSK, or </w:t>
      </w:r>
      <w:r>
        <w:rPr>
          <w:rFonts w:ascii="Times New Roman" w:eastAsia="Times New Roman" w:hAnsi="Times New Roman" w:cs="Times New Roman"/>
          <w:smallCaps/>
          <w:color w:val="000000"/>
          <w:spacing w:val="0"/>
          <w:w w:val="100"/>
          <w:position w:val="0"/>
          <w:shd w:val="clear" w:color="auto" w:fill="auto"/>
          <w:lang w:val="en-US" w:eastAsia="en-US" w:bidi="en-US"/>
        </w:rPr>
        <w:t>Torsk,</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Gλdus.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TUSSILAGO, </w:t>
      </w:r>
      <w:r>
        <w:rPr>
          <w:rFonts w:ascii="Times New Roman" w:eastAsia="Times New Roman" w:hAnsi="Times New Roman" w:cs="Times New Roman"/>
          <w:smallCaps/>
          <w:color w:val="000000"/>
          <w:spacing w:val="0"/>
          <w:w w:val="100"/>
          <w:position w:val="0"/>
          <w:shd w:val="clear" w:color="auto" w:fill="auto"/>
          <w:lang w:val="en-US" w:eastAsia="en-US" w:bidi="en-US"/>
        </w:rPr>
        <w:t>Colt’s foot,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belonging to the claſs of s</w:t>
      </w:r>
      <w:r>
        <w:rPr>
          <w:rFonts w:ascii="Times New Roman" w:eastAsia="Times New Roman" w:hAnsi="Times New Roman" w:cs="Times New Roman"/>
          <w:i/>
          <w:iCs/>
          <w:color w:val="000000"/>
          <w:spacing w:val="0"/>
          <w:w w:val="100"/>
          <w:position w:val="0"/>
          <w:shd w:val="clear" w:color="auto" w:fill="auto"/>
          <w:lang w:val="en-US" w:eastAsia="en-US" w:bidi="en-US"/>
        </w:rPr>
        <w:t>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pοlygamia superflua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Cοmsitae.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pappus simple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ſcales of the calyx equal, of the ſame height as the diſk, and ſomewhat membranaceous. There are 12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of which are indigenous to Britain, the farfara, </w:t>
      </w:r>
      <w:r>
        <w:rPr>
          <w:rFonts w:ascii="Times New Roman" w:eastAsia="Times New Roman" w:hAnsi="Times New Roman" w:cs="Times New Roman"/>
          <w:color w:val="000000"/>
          <w:spacing w:val="0"/>
          <w:w w:val="100"/>
          <w:position w:val="0"/>
          <w:shd w:val="clear" w:color="auto" w:fill="auto"/>
          <w:lang w:val="la-001" w:eastAsia="la-001" w:bidi="la-001"/>
        </w:rPr>
        <w:t xml:space="preserve">hybrida, </w:t>
      </w:r>
      <w:r>
        <w:rPr>
          <w:rFonts w:ascii="Times New Roman" w:eastAsia="Times New Roman" w:hAnsi="Times New Roman" w:cs="Times New Roman"/>
          <w:color w:val="000000"/>
          <w:spacing w:val="0"/>
          <w:w w:val="100"/>
          <w:position w:val="0"/>
          <w:shd w:val="clear" w:color="auto" w:fill="auto"/>
          <w:lang w:val="en-US" w:eastAsia="en-US" w:bidi="en-US"/>
        </w:rPr>
        <w:t>and petaſites.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farfara,</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colt’s foot, grows plentifully on the banks of rivulets, or in moiſt and clayey foils, in Eng</w:t>
        <w:softHyphen/>
        <w:t>land and Scotland.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leaves are ſmoked in the manner of tobacco, or a ſyrup or decoction of them and the flow</w:t>
        <w:softHyphen/>
        <w:t>ers ſtand recommended in coughs and other diſorders of the breaſt and lungs. It ſeems now to be almoſt entirely re</w:t>
        <w:softHyphen/>
        <w:t>jected. The downy ſubſtance under the leaves, boiled in a lixivium with a little ſaltpetre, makes excellent tinder. The p</w:t>
      </w:r>
      <w:r>
        <w:rPr>
          <w:rFonts w:ascii="Times New Roman" w:eastAsia="Times New Roman" w:hAnsi="Times New Roman" w:cs="Times New Roman"/>
          <w:i/>
          <w:iCs/>
          <w:color w:val="000000"/>
          <w:spacing w:val="0"/>
          <w:w w:val="100"/>
          <w:position w:val="0"/>
          <w:shd w:val="clear" w:color="auto" w:fill="auto"/>
          <w:lang w:val="en-US" w:eastAsia="en-US" w:bidi="en-US"/>
        </w:rPr>
        <w:t>etasites,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butter-bur, is frequent in wet meadows and by the sides of rivers. Its leaves are the largeſt of any plant in Great Britain, and in heavy rains af</w:t>
        <w:softHyphen/>
        <w:t xml:space="preserve">ford a ſeaſonable ſhelter to poultry and other ſmall animals. The root dug up in the ſpring is reſinous and aromatic. A drachm of it in a dose has been ſometimes given as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ſudorific and alexipharmſe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poſſesses thoſe virtues but in a ſmall degree, it has loſt its reputation in the ſhops.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TUTENAGO, an ore of zinc, containing commonly from 60 to 90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of zinc, the remainder iron, 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ſmall proportion of clay.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TUTOR, in the civil law, is one choſen to look to the persons and eſtate of children left by their fathers and mo</w:t>
        <w:softHyphen/>
        <w:t xml:space="preserve">thers in their minority. The different kinds of </w:t>
      </w:r>
      <w:r>
        <w:rPr>
          <w:rFonts w:ascii="Times New Roman" w:eastAsia="Times New Roman" w:hAnsi="Times New Roman" w:cs="Times New Roman"/>
          <w:i/>
          <w:iCs/>
          <w:color w:val="000000"/>
          <w:spacing w:val="0"/>
          <w:w w:val="100"/>
          <w:position w:val="0"/>
          <w:shd w:val="clear" w:color="auto" w:fill="auto"/>
          <w:lang w:val="en-US" w:eastAsia="en-US" w:bidi="en-US"/>
        </w:rPr>
        <w:t>tutory</w:t>
      </w:r>
      <w:r>
        <w:rPr>
          <w:rFonts w:ascii="Times New Roman" w:eastAsia="Times New Roman" w:hAnsi="Times New Roman" w:cs="Times New Roman"/>
          <w:color w:val="000000"/>
          <w:spacing w:val="0"/>
          <w:w w:val="100"/>
          <w:position w:val="0"/>
          <w:shd w:val="clear" w:color="auto" w:fill="auto"/>
          <w:lang w:val="en-US" w:eastAsia="en-US" w:bidi="en-US"/>
        </w:rPr>
        <w:t xml:space="preserve"> eſta</w:t>
        <w:softHyphen/>
        <w:t xml:space="preserve">bliſhed among the Romans, and the powers and duties of tutors, are deſcribed in </w:t>
      </w:r>
      <w:r>
        <w:rPr>
          <w:rFonts w:ascii="Times New Roman" w:eastAsia="Times New Roman" w:hAnsi="Times New Roman" w:cs="Times New Roman"/>
          <w:i/>
          <w:iCs/>
          <w:color w:val="000000"/>
          <w:spacing w:val="0"/>
          <w:w w:val="100"/>
          <w:position w:val="0"/>
          <w:shd w:val="clear" w:color="auto" w:fill="auto"/>
          <w:lang w:val="en-US" w:eastAsia="en-US" w:bidi="en-US"/>
        </w:rPr>
        <w:t>Inst. Leg.</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XIII. ſect. 1. and 2. to which the reader is referred. Sec alſo the article </w:t>
      </w:r>
      <w:r>
        <w:rPr>
          <w:rFonts w:ascii="Times New Roman" w:eastAsia="Times New Roman" w:hAnsi="Times New Roman" w:cs="Times New Roman"/>
          <w:smallCaps/>
          <w:color w:val="000000"/>
          <w:spacing w:val="0"/>
          <w:w w:val="100"/>
          <w:position w:val="0"/>
          <w:shd w:val="clear" w:color="auto" w:fill="auto"/>
          <w:lang w:val="en-US" w:eastAsia="en-US" w:bidi="en-US"/>
        </w:rPr>
        <w:t>Guar-</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