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In Riga fir the adhesion was on an average about one third of that in oak, and in good sound Canada elm it was about three fourths of that in oak.</w:t>
      </w:r>
    </w:p>
    <w:p>
      <w:pPr>
        <w:pStyle w:val="Style2"/>
        <w:keepNext w:val="0"/>
        <w:keepLines w:val="0"/>
        <w:widowControl w:val="0"/>
        <w:shd w:val="clear" w:color="auto" w:fill="auto"/>
        <w:bidi w:val="0"/>
        <w:spacing w:line="230" w:lineRule="auto"/>
        <w:ind w:left="360" w:hanging="360"/>
        <w:jc w:val="left"/>
        <w:rPr>
          <w:sz w:val="16"/>
          <w:szCs w:val="16"/>
        </w:rPr>
      </w:pPr>
      <w:r>
        <w:rPr>
          <w:i/>
          <w:iCs/>
          <w:color w:val="574938"/>
          <w:spacing w:val="0"/>
          <w:w w:val="100"/>
          <w:position w:val="0"/>
          <w:sz w:val="16"/>
          <w:szCs w:val="16"/>
          <w:shd w:val="clear" w:color="auto" w:fill="auto"/>
          <w:lang w:val="en-US" w:eastAsia="en-US" w:bidi="en-US"/>
        </w:rPr>
        <w:t>“ Table of the Strength of clenches and of Forelocks, as se</w:t>
        <w:softHyphen/>
        <w:t>curities to Iron and copper Bolts, driven six inches, with</w:t>
        <w:softHyphen/>
        <w:t>out Drift, into sound Oak, either clenched or forelocked on Hings, and subjected to</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direct Strain, as in fig.</w:t>
      </w:r>
      <w:r>
        <w:rPr>
          <w:color w:val="574938"/>
          <w:spacing w:val="0"/>
          <w:w w:val="100"/>
          <w:position w:val="0"/>
          <w:sz w:val="16"/>
          <w:szCs w:val="16"/>
          <w:shd w:val="clear" w:color="auto" w:fill="auto"/>
          <w:lang w:val="en-US" w:eastAsia="en-US" w:bidi="en-US"/>
        </w:rPr>
        <w:t xml:space="preserve"> 57.</w:t>
      </w:r>
    </w:p>
    <w:tbl>
      <w:tblPr>
        <w:tblOverlap w:val="never"/>
        <w:jc w:val="left"/>
        <w:tblLayout w:type="fixed"/>
      </w:tblPr>
      <w:tblGrid>
        <w:gridCol w:w="616"/>
        <w:gridCol w:w="616"/>
        <w:gridCol w:w="331"/>
        <w:gridCol w:w="285"/>
        <w:gridCol w:w="335"/>
        <w:gridCol w:w="276"/>
        <w:gridCol w:w="340"/>
        <w:gridCol w:w="272"/>
        <w:gridCol w:w="353"/>
        <w:gridCol w:w="294"/>
      </w:tblGrid>
      <w:tr>
        <w:trPr>
          <w:trHeight w:val="326"/>
        </w:trPr>
        <w:tc>
          <w:tcPr>
            <w:vMerge w:val="restart"/>
            <w:tcBorders>
              <w:top w:val="single" w:sz="4"/>
              <w:left w:val="single" w:sz="4"/>
            </w:tcBorders>
            <w:shd w:val="clear" w:color="auto" w:fill="E1D0AC"/>
            <w:vAlign w:val="center"/>
          </w:tcPr>
          <w:p>
            <w:pPr>
              <w:pStyle w:val="Style6"/>
              <w:keepNext w:val="0"/>
              <w:keepLines w:val="0"/>
              <w:widowControl w:val="0"/>
              <w:shd w:val="clear" w:color="auto" w:fill="auto"/>
              <w:bidi w:val="0"/>
              <w:spacing w:line="202" w:lineRule="auto"/>
              <w:ind w:left="0" w:firstLine="0"/>
              <w:jc w:val="left"/>
              <w:rPr>
                <w:sz w:val="11"/>
                <w:szCs w:val="11"/>
              </w:rPr>
            </w:pPr>
            <w:r>
              <w:rPr>
                <w:b/>
                <w:bCs/>
                <w:color w:val="4B4232"/>
                <w:spacing w:val="0"/>
                <w:w w:val="100"/>
                <w:position w:val="0"/>
                <w:sz w:val="11"/>
                <w:szCs w:val="11"/>
                <w:shd w:val="clear" w:color="auto" w:fill="auto"/>
                <w:lang w:val="en-US" w:eastAsia="en-US" w:bidi="en-US"/>
              </w:rPr>
              <w:t>Diameter of the Bolt.</w:t>
            </w:r>
          </w:p>
        </w:tc>
        <w:tc>
          <w:tcPr>
            <w:vMerge w:val="restart"/>
            <w:tcBorders>
              <w:top w:val="single" w:sz="4"/>
              <w:left w:val="single" w:sz="4"/>
            </w:tcBorders>
            <w:shd w:val="clear" w:color="auto" w:fill="E1D0AC"/>
            <w:vAlign w:val="center"/>
          </w:tcPr>
          <w:p>
            <w:pPr>
              <w:pStyle w:val="Style6"/>
              <w:keepNext w:val="0"/>
              <w:keepLines w:val="0"/>
              <w:widowControl w:val="0"/>
              <w:shd w:val="clear" w:color="auto" w:fill="auto"/>
              <w:bidi w:val="0"/>
              <w:spacing w:line="206" w:lineRule="auto"/>
              <w:ind w:left="0" w:firstLine="0"/>
              <w:jc w:val="left"/>
              <w:rPr>
                <w:sz w:val="11"/>
                <w:szCs w:val="11"/>
              </w:rPr>
            </w:pPr>
            <w:r>
              <w:rPr>
                <w:b/>
                <w:bCs/>
                <w:color w:val="4B4232"/>
                <w:spacing w:val="0"/>
                <w:w w:val="100"/>
                <w:position w:val="0"/>
                <w:sz w:val="11"/>
                <w:szCs w:val="11"/>
                <w:shd w:val="clear" w:color="auto" w:fill="auto"/>
                <w:lang w:val="en-US" w:eastAsia="en-US" w:bidi="en-US"/>
              </w:rPr>
              <w:t>Number of the</w:t>
            </w:r>
          </w:p>
          <w:p>
            <w:pPr>
              <w:pStyle w:val="Style6"/>
              <w:keepNext w:val="0"/>
              <w:keepLines w:val="0"/>
              <w:widowControl w:val="0"/>
              <w:shd w:val="clear" w:color="auto" w:fill="auto"/>
              <w:bidi w:val="0"/>
              <w:spacing w:line="206" w:lineRule="auto"/>
              <w:ind w:left="0" w:firstLine="0"/>
              <w:jc w:val="left"/>
              <w:rPr>
                <w:sz w:val="11"/>
                <w:szCs w:val="11"/>
              </w:rPr>
            </w:pPr>
            <w:r>
              <w:rPr>
                <w:b/>
                <w:bCs/>
                <w:color w:val="4B4232"/>
                <w:spacing w:val="0"/>
                <w:w w:val="100"/>
                <w:position w:val="0"/>
                <w:sz w:val="11"/>
                <w:szCs w:val="11"/>
                <w:shd w:val="clear" w:color="auto" w:fill="auto"/>
                <w:lang w:val="en-US" w:eastAsia="en-US" w:bidi="en-US"/>
              </w:rPr>
              <w:t>Experiment.</w:t>
            </w:r>
          </w:p>
        </w:tc>
        <w:tc>
          <w:tcPr>
            <w:gridSpan w:val="4"/>
            <w:tcBorders>
              <w:top w:val="single" w:sz="4"/>
              <w:left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Iron.</w:t>
            </w:r>
          </w:p>
        </w:tc>
        <w:tc>
          <w:tcPr>
            <w:gridSpan w:val="4"/>
            <w:tcBorders>
              <w:top w:val="single" w:sz="4"/>
              <w:left w:val="single" w:sz="4"/>
              <w:right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Copper.</w:t>
            </w:r>
          </w:p>
        </w:tc>
      </w:tr>
      <w:tr>
        <w:trPr>
          <w:trHeight w:val="276"/>
        </w:trPr>
        <w:tc>
          <w:tcPr>
            <w:vMerge/>
            <w:tcBorders>
              <w:left w:val="single" w:sz="4"/>
            </w:tcBorders>
            <w:shd w:val="clear" w:color="auto" w:fill="E1D0AC"/>
            <w:vAlign w:val="center"/>
          </w:tcPr>
          <w:p>
            <w:pPr/>
          </w:p>
        </w:tc>
        <w:tc>
          <w:tcPr>
            <w:vMerge/>
            <w:tcBorders>
              <w:left w:val="single" w:sz="4"/>
            </w:tcBorders>
            <w:shd w:val="clear" w:color="auto" w:fill="E1D0AC"/>
            <w:vAlign w:val="center"/>
          </w:tcPr>
          <w:p>
            <w:pPr/>
          </w:p>
        </w:tc>
        <w:tc>
          <w:tcPr>
            <w:gridSpan w:val="2"/>
            <w:tcBorders>
              <w:top w:val="single" w:sz="4"/>
              <w:left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Clench.</w:t>
            </w:r>
          </w:p>
        </w:tc>
        <w:tc>
          <w:tcPr>
            <w:gridSpan w:val="2"/>
            <w:tcBorders>
              <w:top w:val="single" w:sz="4"/>
              <w:left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Forelock.</w:t>
            </w:r>
          </w:p>
        </w:tc>
        <w:tc>
          <w:tcPr>
            <w:gridSpan w:val="2"/>
            <w:tcBorders>
              <w:top w:val="single" w:sz="4"/>
              <w:left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Clench.</w:t>
            </w:r>
          </w:p>
        </w:tc>
        <w:tc>
          <w:tcPr>
            <w:gridSpan w:val="2"/>
            <w:tcBorders>
              <w:top w:val="single" w:sz="4"/>
              <w:right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Forelock.</w:t>
            </w:r>
          </w:p>
        </w:tc>
      </w:tr>
      <w:tr>
        <w:trPr>
          <w:trHeight w:val="168"/>
        </w:trPr>
        <w:tc>
          <w:tcPr>
            <w:tcBorders>
              <w:top w:val="single" w:sz="4"/>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Inch.</w:t>
            </w:r>
          </w:p>
        </w:tc>
        <w:tc>
          <w:tcPr>
            <w:tcBorders>
              <w:top w:val="single" w:sz="4"/>
              <w:left w:val="single" w:sz="4"/>
            </w:tcBorders>
            <w:shd w:val="clear" w:color="auto" w:fill="E1D0AC"/>
            <w:vAlign w:val="top"/>
          </w:tcPr>
          <w:p>
            <w:pPr>
              <w:widowControl w:val="0"/>
              <w:rPr>
                <w:sz w:val="10"/>
                <w:szCs w:val="10"/>
              </w:rPr>
            </w:pPr>
          </w:p>
        </w:tc>
        <w:tc>
          <w:tcPr>
            <w:tcBorders>
              <w:top w:val="single" w:sz="4"/>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Tons.</w:t>
            </w:r>
          </w:p>
        </w:tc>
        <w:tc>
          <w:tcPr>
            <w:tcBorders>
              <w:top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Cwt.</w:t>
            </w:r>
          </w:p>
        </w:tc>
        <w:tc>
          <w:tcPr>
            <w:tcBorders>
              <w:top w:val="single" w:sz="4"/>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Tons.</w:t>
            </w:r>
          </w:p>
        </w:tc>
        <w:tc>
          <w:tcPr>
            <w:tcBorders>
              <w:top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Cwt.</w:t>
            </w:r>
          </w:p>
        </w:tc>
        <w:tc>
          <w:tcPr>
            <w:tcBorders>
              <w:top w:val="single" w:sz="4"/>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Tons.</w:t>
            </w:r>
          </w:p>
        </w:tc>
        <w:tc>
          <w:tcPr>
            <w:tcBorders>
              <w:top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Cwt.</w:t>
            </w:r>
          </w:p>
        </w:tc>
        <w:tc>
          <w:tcPr>
            <w:tcBorders>
              <w:top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Tons.</w:t>
            </w:r>
          </w:p>
        </w:tc>
        <w:tc>
          <w:tcPr>
            <w:tcBorders>
              <w:top w:val="single" w:sz="4"/>
              <w:righ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Cwt.</w:t>
            </w:r>
          </w:p>
        </w:tc>
      </w:tr>
      <w:tr>
        <w:trPr>
          <w:trHeight w:val="140"/>
        </w:trPr>
        <w:tc>
          <w:tcPr>
            <w:vMerge w:val="restart"/>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4B4232"/>
                <w:spacing w:val="0"/>
                <w:w w:val="70"/>
                <w:position w:val="0"/>
                <w:sz w:val="18"/>
                <w:szCs w:val="18"/>
                <w:shd w:val="clear" w:color="auto" w:fill="auto"/>
                <w:lang w:val="en-US" w:eastAsia="en-US" w:bidi="en-US"/>
              </w:rPr>
              <w:t>¼...{</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16</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w:t>
            </w:r>
          </w:p>
        </w:tc>
        <w:tc>
          <w:tcPr>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w:t>
            </w:r>
          </w:p>
        </w:tc>
        <w:tc>
          <w:tcPr>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right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fr-FR" w:eastAsia="fr-FR" w:bidi="fr-FR"/>
              </w:rPr>
              <w:t>8</w:t>
            </w:r>
          </w:p>
        </w:tc>
      </w:tr>
      <w:tr>
        <w:trPr>
          <w:trHeight w:val="149"/>
        </w:trPr>
        <w:tc>
          <w:tcPr>
            <w:vMerge/>
            <w:tcBorders>
              <w:left w:val="single" w:sz="4"/>
            </w:tcBorders>
            <w:shd w:val="clear" w:color="auto" w:fill="E1D0AC"/>
            <w:vAlign w:val="top"/>
          </w:tcPr>
          <w:p>
            <w:pP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13</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w:t>
            </w:r>
          </w:p>
        </w:tc>
        <w:tc>
          <w:tcPr>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14</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19</w:t>
            </w:r>
          </w:p>
        </w:tc>
        <w:tc>
          <w:tcPr>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righ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w:t>
            </w:r>
          </w:p>
        </w:tc>
      </w:tr>
      <w:tr>
        <w:trPr>
          <w:trHeight w:val="149"/>
        </w:trPr>
        <w:tc>
          <w:tcPr>
            <w:vMerge/>
            <w:tcBorders>
              <w:left w:val="single" w:sz="4"/>
            </w:tcBorders>
            <w:shd w:val="clear" w:color="auto" w:fill="E1D0AC"/>
            <w:vAlign w:val="top"/>
          </w:tcPr>
          <w:p>
            <w:pPr/>
          </w:p>
        </w:tc>
        <w:tc>
          <w:tcPr>
            <w:tcBorders>
              <w:left w:val="single" w:sz="4"/>
            </w:tcBorders>
            <w:shd w:val="clear" w:color="auto" w:fill="E1D0AC"/>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9</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20</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w:t>
            </w:r>
          </w:p>
        </w:tc>
        <w:tc>
          <w:tcPr>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w:t>
            </w:r>
          </w:p>
        </w:tc>
        <w:tc>
          <w:tcPr>
            <w:tcBorders>
              <w:right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7</w:t>
            </w:r>
          </w:p>
        </w:tc>
      </w:tr>
      <w:tr>
        <w:trPr>
          <w:trHeight w:val="145"/>
        </w:trPr>
        <w:tc>
          <w:tcPr>
            <w:vMerge/>
            <w:tcBorders>
              <w:left w:val="single" w:sz="4"/>
            </w:tcBorders>
            <w:shd w:val="clear" w:color="auto" w:fill="E1D0AC"/>
            <w:vAlign w:val="top"/>
          </w:tcPr>
          <w:p>
            <w:pP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4</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9</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18</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w:t>
            </w:r>
          </w:p>
        </w:tc>
        <w:tc>
          <w:tcPr>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w:t>
            </w:r>
          </w:p>
        </w:tc>
        <w:tc>
          <w:tcPr>
            <w:tcBorders>
              <w:righ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r>
      <w:tr>
        <w:trPr>
          <w:trHeight w:val="154"/>
        </w:trPr>
        <w:tc>
          <w:tcPr>
            <w:vMerge w:val="restart"/>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4B4232"/>
                <w:spacing w:val="0"/>
                <w:w w:val="70"/>
                <w:position w:val="0"/>
                <w:sz w:val="18"/>
                <w:szCs w:val="18"/>
                <w:shd w:val="clear" w:color="auto" w:fill="auto"/>
                <w:vertAlign w:val="superscript"/>
                <w:lang w:val="en-US" w:eastAsia="en-US" w:bidi="en-US"/>
              </w:rPr>
              <w:t>3</w:t>
            </w:r>
            <w:r>
              <w:rPr>
                <w:rFonts w:ascii="Arial" w:eastAsia="Arial" w:hAnsi="Arial" w:cs="Arial"/>
                <w:color w:val="4B4232"/>
                <w:spacing w:val="0"/>
                <w:w w:val="70"/>
                <w:position w:val="0"/>
                <w:sz w:val="18"/>
                <w:szCs w:val="18"/>
                <w:shd w:val="clear" w:color="auto" w:fill="auto"/>
                <w:lang w:val="en-US" w:eastAsia="en-US" w:bidi="en-US"/>
              </w:rPr>
              <w:t>/</w:t>
            </w:r>
            <w:r>
              <w:rPr>
                <w:rFonts w:ascii="Arial" w:eastAsia="Arial" w:hAnsi="Arial" w:cs="Arial"/>
                <w:color w:val="4B4232"/>
                <w:spacing w:val="0"/>
                <w:w w:val="70"/>
                <w:position w:val="0"/>
                <w:sz w:val="18"/>
                <w:szCs w:val="18"/>
                <w:shd w:val="clear" w:color="auto" w:fill="auto"/>
                <w:vertAlign w:val="subscript"/>
                <w:lang w:val="en-US" w:eastAsia="en-US" w:bidi="en-US"/>
              </w:rPr>
              <w:t>8</w:t>
            </w:r>
            <w:r>
              <w:rPr>
                <w:rFonts w:ascii="Arial" w:eastAsia="Arial" w:hAnsi="Arial" w:cs="Arial"/>
                <w:color w:val="4B4232"/>
                <w:spacing w:val="0"/>
                <w:w w:val="70"/>
                <w:position w:val="0"/>
                <w:sz w:val="18"/>
                <w:szCs w:val="18"/>
                <w:shd w:val="clear" w:color="auto" w:fill="auto"/>
                <w:lang w:val="en-US" w:eastAsia="en-US" w:bidi="en-US"/>
              </w:rPr>
              <w:t>...{</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15</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w:t>
            </w:r>
          </w:p>
        </w:tc>
        <w:tc>
          <w:tcPr>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righ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r>
      <w:tr>
        <w:trPr>
          <w:trHeight w:val="145"/>
        </w:trPr>
        <w:tc>
          <w:tcPr>
            <w:vMerge/>
            <w:tcBorders>
              <w:left w:val="single" w:sz="4"/>
            </w:tcBorders>
            <w:shd w:val="clear" w:color="auto" w:fill="E1D0AC"/>
            <w:vAlign w:val="bottom"/>
          </w:tcPr>
          <w:p>
            <w:pP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left w:val="single" w:sz="4"/>
            </w:tcBorders>
            <w:shd w:val="clear" w:color="auto" w:fill="E1D0AC"/>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w:t>
            </w:r>
          </w:p>
        </w:tc>
        <w:tc>
          <w:tcPr>
            <w:tcBorders>
              <w:left w:val="single" w:sz="4"/>
            </w:tcBorders>
            <w:shd w:val="clear" w:color="auto" w:fill="E1D0AC"/>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righ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r>
      <w:tr>
        <w:trPr>
          <w:trHeight w:val="154"/>
        </w:trPr>
        <w:tc>
          <w:tcPr>
            <w:vMerge/>
            <w:tcBorders>
              <w:left w:val="single" w:sz="4"/>
            </w:tcBorders>
            <w:shd w:val="clear" w:color="auto" w:fill="E1D0AC"/>
            <w:vAlign w:val="bottom"/>
          </w:tcPr>
          <w:p>
            <w:pP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16</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9</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6</w:t>
            </w:r>
          </w:p>
        </w:tc>
        <w:tc>
          <w:tcPr>
            <w:tcBorders>
              <w:left w:val="single" w:sz="4"/>
            </w:tcBorders>
            <w:shd w:val="clear" w:color="auto" w:fill="E1D0AC"/>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right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2</w:t>
            </w:r>
          </w:p>
        </w:tc>
      </w:tr>
      <w:tr>
        <w:trPr>
          <w:trHeight w:val="145"/>
        </w:trPr>
        <w:tc>
          <w:tcPr>
            <w:vMerge/>
            <w:tcBorders>
              <w:left w:val="single" w:sz="4"/>
            </w:tcBorders>
            <w:shd w:val="clear" w:color="auto" w:fill="E1D0AC"/>
            <w:vAlign w:val="bottom"/>
          </w:tcPr>
          <w:p>
            <w:pP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4</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14</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9</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righ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4</w:t>
            </w:r>
          </w:p>
        </w:tc>
      </w:tr>
      <w:tr>
        <w:trPr>
          <w:trHeight w:val="149"/>
        </w:trPr>
        <w:tc>
          <w:tcPr>
            <w:vMerge w:val="restart"/>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½...</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left w:val="single" w:sz="4"/>
            </w:tcBorders>
            <w:shd w:val="clear" w:color="auto" w:fill="E1D0AC"/>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4</w:t>
            </w:r>
          </w:p>
        </w:tc>
        <w:tc>
          <w:tcPr>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15</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11</w:t>
            </w:r>
          </w:p>
        </w:tc>
        <w:tc>
          <w:tcPr>
            <w:tcBorders>
              <w:left w:val="single" w:sz="4"/>
            </w:tcBorders>
            <w:shd w:val="clear" w:color="auto" w:fill="E1D0AC"/>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right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18</w:t>
            </w:r>
          </w:p>
        </w:tc>
      </w:tr>
      <w:tr>
        <w:trPr>
          <w:trHeight w:val="149"/>
        </w:trPr>
        <w:tc>
          <w:tcPr>
            <w:vMerge/>
            <w:tcBorders>
              <w:left w:val="single" w:sz="4"/>
            </w:tcBorders>
            <w:shd w:val="clear" w:color="auto" w:fill="E1D0AC"/>
            <w:vAlign w:val="top"/>
          </w:tcPr>
          <w:p>
            <w:pP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4</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15</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15</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righ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18</w:t>
            </w:r>
          </w:p>
        </w:tc>
      </w:tr>
      <w:tr>
        <w:trPr>
          <w:trHeight w:val="149"/>
        </w:trPr>
        <w:tc>
          <w:tcPr>
            <w:vMerge/>
            <w:tcBorders>
              <w:left w:val="single" w:sz="4"/>
            </w:tcBorders>
            <w:shd w:val="clear" w:color="auto" w:fill="E1D0AC"/>
            <w:vAlign w:val="top"/>
          </w:tcPr>
          <w:p>
            <w:pP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4</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righ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4</w:t>
            </w:r>
          </w:p>
        </w:tc>
      </w:tr>
      <w:tr>
        <w:trPr>
          <w:trHeight w:val="154"/>
        </w:trPr>
        <w:tc>
          <w:tcPr>
            <w:vMerge/>
            <w:tcBorders>
              <w:left w:val="single" w:sz="4"/>
            </w:tcBorders>
            <w:shd w:val="clear" w:color="auto" w:fill="E1D0AC"/>
            <w:vAlign w:val="top"/>
          </w:tcPr>
          <w:p>
            <w:pP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4</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4</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12</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12</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5"/>
                <w:szCs w:val="15"/>
              </w:rPr>
            </w:pPr>
            <w:r>
              <w:rPr>
                <w:b/>
                <w:bCs/>
                <w:color w:val="4B4232"/>
                <w:spacing w:val="0"/>
                <w:w w:val="100"/>
                <w:position w:val="0"/>
                <w:sz w:val="15"/>
                <w:szCs w:val="15"/>
                <w:shd w:val="clear" w:color="auto" w:fill="auto"/>
                <w:lang w:val="en-US" w:eastAsia="en-US" w:bidi="en-US"/>
              </w:rPr>
              <w:t>4</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righ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16</w:t>
            </w:r>
          </w:p>
        </w:tc>
      </w:tr>
      <w:tr>
        <w:trPr>
          <w:trHeight w:val="145"/>
        </w:trPr>
        <w:tc>
          <w:tcPr>
            <w:vMerge w:val="restart"/>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4B4232"/>
                <w:spacing w:val="0"/>
                <w:w w:val="70"/>
                <w:position w:val="0"/>
                <w:sz w:val="18"/>
                <w:szCs w:val="18"/>
                <w:shd w:val="clear" w:color="auto" w:fill="auto"/>
                <w:vertAlign w:val="superscript"/>
                <w:lang w:val="en-US" w:eastAsia="en-US" w:bidi="en-US"/>
              </w:rPr>
              <w:t>5</w:t>
            </w:r>
            <w:r>
              <w:rPr>
                <w:rFonts w:ascii="Arial" w:eastAsia="Arial" w:hAnsi="Arial" w:cs="Arial"/>
                <w:color w:val="4B4232"/>
                <w:spacing w:val="0"/>
                <w:w w:val="70"/>
                <w:position w:val="0"/>
                <w:sz w:val="18"/>
                <w:szCs w:val="18"/>
                <w:shd w:val="clear" w:color="auto" w:fill="auto"/>
                <w:lang w:val="en-US" w:eastAsia="en-US" w:bidi="en-US"/>
              </w:rPr>
              <w:t>/</w:t>
            </w:r>
            <w:r>
              <w:rPr>
                <w:rFonts w:ascii="Arial" w:eastAsia="Arial" w:hAnsi="Arial" w:cs="Arial"/>
                <w:color w:val="4B4232"/>
                <w:spacing w:val="0"/>
                <w:w w:val="70"/>
                <w:position w:val="0"/>
                <w:sz w:val="18"/>
                <w:szCs w:val="18"/>
                <w:shd w:val="clear" w:color="auto" w:fill="auto"/>
                <w:vertAlign w:val="subscript"/>
                <w:lang w:val="en-US" w:eastAsia="en-US" w:bidi="en-US"/>
              </w:rPr>
              <w:t>8</w:t>
            </w:r>
            <w:r>
              <w:rPr>
                <w:rFonts w:ascii="Arial" w:eastAsia="Arial" w:hAnsi="Arial" w:cs="Arial"/>
                <w:color w:val="4B4232"/>
                <w:spacing w:val="0"/>
                <w:w w:val="70"/>
                <w:position w:val="0"/>
                <w:sz w:val="18"/>
                <w:szCs w:val="18"/>
                <w:shd w:val="clear" w:color="auto" w:fill="auto"/>
                <w:lang w:val="en-US" w:eastAsia="en-US" w:bidi="en-US"/>
              </w:rPr>
              <w:t>...{</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18</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1"/>
                <w:szCs w:val="11"/>
              </w:rPr>
            </w:pPr>
            <w:r>
              <w:rPr>
                <w:b/>
                <w:bCs/>
                <w:color w:val="4B4232"/>
                <w:spacing w:val="0"/>
                <w:w w:val="100"/>
                <w:position w:val="0"/>
                <w:sz w:val="11"/>
                <w:szCs w:val="11"/>
                <w:shd w:val="clear" w:color="auto" w:fill="auto"/>
                <w:lang w:val="la-001" w:eastAsia="la-001" w:bidi="la-001"/>
              </w:rPr>
              <w:t>3</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15</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righ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13</w:t>
            </w:r>
          </w:p>
        </w:tc>
      </w:tr>
      <w:tr>
        <w:trPr>
          <w:trHeight w:val="149"/>
        </w:trPr>
        <w:tc>
          <w:tcPr>
            <w:vMerge/>
            <w:tcBorders>
              <w:left w:val="single" w:sz="4"/>
            </w:tcBorders>
            <w:shd w:val="clear" w:color="auto" w:fill="E1D0AC"/>
            <w:vAlign w:val="top"/>
          </w:tcPr>
          <w:p>
            <w:pP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w:t>
            </w:r>
          </w:p>
        </w:tc>
        <w:tc>
          <w:tcPr>
            <w:tcBorders>
              <w:left w:val="single" w:sz="4"/>
            </w:tcBorders>
            <w:shd w:val="clear" w:color="auto" w:fill="E1D0AC"/>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6</w:t>
            </w:r>
          </w:p>
        </w:tc>
        <w:tc>
          <w:tcPr>
            <w:tcBorders>
              <w:left w:val="single" w:sz="4"/>
            </w:tcBorders>
            <w:shd w:val="clear" w:color="auto" w:fill="E1D0AC"/>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16</w:t>
            </w:r>
          </w:p>
        </w:tc>
        <w:tc>
          <w:tcPr>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righ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w:t>
            </w:r>
          </w:p>
        </w:tc>
      </w:tr>
      <w:tr>
        <w:trPr>
          <w:trHeight w:val="149"/>
        </w:trPr>
        <w:tc>
          <w:tcPr>
            <w:vMerge/>
            <w:tcBorders>
              <w:left w:val="single" w:sz="4"/>
            </w:tcBorders>
            <w:shd w:val="clear" w:color="auto" w:fill="E1D0AC"/>
            <w:vAlign w:val="top"/>
          </w:tcPr>
          <w:p>
            <w:pPr/>
          </w:p>
        </w:tc>
        <w:tc>
          <w:tcPr>
            <w:tcBorders>
              <w:left w:val="single" w:sz="4"/>
            </w:tcBorders>
            <w:shd w:val="clear" w:color="auto" w:fill="E1D0AC"/>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left w:val="single" w:sz="4"/>
            </w:tcBorders>
            <w:shd w:val="clear" w:color="auto" w:fill="E1D0AC"/>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fr-FR" w:eastAsia="fr-FR" w:bidi="fr-FR"/>
              </w:rPr>
              <w:t>6</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w:t>
            </w:r>
          </w:p>
        </w:tc>
        <w:tc>
          <w:tcPr>
            <w:tcBorders>
              <w:left w:val="single" w:sz="4"/>
            </w:tcBorders>
            <w:shd w:val="clear" w:color="auto" w:fill="E1D0AC"/>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w:t>
            </w:r>
          </w:p>
        </w:tc>
        <w:tc>
          <w:tcPr>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6</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6</w:t>
            </w:r>
          </w:p>
        </w:tc>
        <w:tc>
          <w:tcPr>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right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16</w:t>
            </w:r>
          </w:p>
        </w:tc>
      </w:tr>
      <w:tr>
        <w:trPr>
          <w:trHeight w:val="149"/>
        </w:trPr>
        <w:tc>
          <w:tcPr>
            <w:vMerge/>
            <w:tcBorders>
              <w:left w:val="single" w:sz="4"/>
            </w:tcBorders>
            <w:shd w:val="clear" w:color="auto" w:fill="E1D0AC"/>
            <w:vAlign w:val="top"/>
          </w:tcPr>
          <w:p>
            <w:pP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7</w:t>
            </w:r>
          </w:p>
        </w:tc>
        <w:tc>
          <w:tcPr>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w:t>
            </w:r>
          </w:p>
        </w:tc>
        <w:tc>
          <w:tcPr>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righ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w:t>
            </w:r>
          </w:p>
        </w:tc>
      </w:tr>
      <w:tr>
        <w:trPr>
          <w:trHeight w:val="154"/>
        </w:trPr>
        <w:tc>
          <w:tcPr>
            <w:vMerge w:val="restart"/>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¾...{</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7</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w:t>
            </w:r>
          </w:p>
        </w:tc>
        <w:tc>
          <w:tcPr>
            <w:gridSpan w:val="2"/>
            <w:tcBorders>
              <w:righ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w:t>
            </w:r>
          </w:p>
        </w:tc>
      </w:tr>
      <w:tr>
        <w:trPr>
          <w:trHeight w:val="145"/>
        </w:trPr>
        <w:tc>
          <w:tcPr>
            <w:vMerge/>
            <w:tcBorders>
              <w:left w:val="single" w:sz="4"/>
            </w:tcBorders>
            <w:shd w:val="clear" w:color="auto" w:fill="E1D0AC"/>
            <w:vAlign w:val="top"/>
          </w:tcPr>
          <w:p>
            <w:pP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15</w:t>
            </w:r>
          </w:p>
        </w:tc>
        <w:tc>
          <w:tcPr>
            <w:tcBorders/>
            <w:shd w:val="clear" w:color="auto" w:fill="E1D0AC"/>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7</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w:t>
            </w:r>
          </w:p>
        </w:tc>
        <w:tc>
          <w:tcPr>
            <w:gridSpan w:val="2"/>
            <w:tcBorders>
              <w:righ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w:t>
            </w:r>
          </w:p>
        </w:tc>
      </w:tr>
      <w:tr>
        <w:trPr>
          <w:trHeight w:val="149"/>
        </w:trPr>
        <w:tc>
          <w:tcPr>
            <w:vMerge/>
            <w:tcBorders>
              <w:left w:val="single" w:sz="4"/>
            </w:tcBorders>
            <w:shd w:val="clear" w:color="auto" w:fill="E1D0AC"/>
            <w:vAlign w:val="top"/>
          </w:tcPr>
          <w:p>
            <w:pP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7</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w:t>
            </w:r>
          </w:p>
        </w:tc>
        <w:tc>
          <w:tcPr>
            <w:gridSpan w:val="2"/>
            <w:tcBorders>
              <w:righ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w:t>
            </w:r>
          </w:p>
        </w:tc>
      </w:tr>
      <w:tr>
        <w:trPr>
          <w:trHeight w:val="149"/>
        </w:trPr>
        <w:tc>
          <w:tcPr>
            <w:vMerge/>
            <w:tcBorders>
              <w:left w:val="single" w:sz="4"/>
            </w:tcBorders>
            <w:shd w:val="clear" w:color="auto" w:fill="E1D0AC"/>
            <w:vAlign w:val="top"/>
          </w:tcPr>
          <w:p>
            <w:pP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5"/>
                <w:szCs w:val="15"/>
              </w:rPr>
            </w:pPr>
            <w:r>
              <w:rPr>
                <w:b/>
                <w:bCs/>
                <w:color w:val="4B4232"/>
                <w:spacing w:val="0"/>
                <w:w w:val="100"/>
                <w:position w:val="0"/>
                <w:sz w:val="15"/>
                <w:szCs w:val="15"/>
                <w:shd w:val="clear" w:color="auto" w:fill="auto"/>
                <w:lang w:val="en-US" w:eastAsia="en-US" w:bidi="en-US"/>
              </w:rPr>
              <w:t>4</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15</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15</w:t>
            </w:r>
          </w:p>
        </w:tc>
        <w:tc>
          <w:tcPr>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7</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fr-FR" w:eastAsia="fr-FR" w:bidi="fr-FR"/>
              </w:rPr>
              <w:t>8</w:t>
            </w:r>
          </w:p>
        </w:tc>
        <w:tc>
          <w:tcPr>
            <w:gridSpan w:val="2"/>
            <w:tcBorders>
              <w:righ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w:t>
            </w:r>
          </w:p>
        </w:tc>
      </w:tr>
      <w:tr>
        <w:trPr>
          <w:trHeight w:val="145"/>
        </w:trPr>
        <w:tc>
          <w:tcPr>
            <w:vMerge w:val="restart"/>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4B4232"/>
                <w:spacing w:val="0"/>
                <w:w w:val="70"/>
                <w:position w:val="0"/>
                <w:sz w:val="18"/>
                <w:szCs w:val="18"/>
                <w:shd w:val="clear" w:color="auto" w:fill="auto"/>
                <w:vertAlign w:val="superscript"/>
                <w:lang w:val="en-US" w:eastAsia="en-US" w:bidi="en-US"/>
              </w:rPr>
              <w:t>7</w:t>
            </w:r>
            <w:r>
              <w:rPr>
                <w:rFonts w:ascii="Arial" w:eastAsia="Arial" w:hAnsi="Arial" w:cs="Arial"/>
                <w:color w:val="4B4232"/>
                <w:spacing w:val="0"/>
                <w:w w:val="70"/>
                <w:position w:val="0"/>
                <w:sz w:val="18"/>
                <w:szCs w:val="18"/>
                <w:shd w:val="clear" w:color="auto" w:fill="auto"/>
                <w:lang w:val="en-US" w:eastAsia="en-US" w:bidi="en-US"/>
              </w:rPr>
              <w:t>/</w:t>
            </w:r>
            <w:r>
              <w:rPr>
                <w:rFonts w:ascii="Arial" w:eastAsia="Arial" w:hAnsi="Arial" w:cs="Arial"/>
                <w:color w:val="4B4232"/>
                <w:spacing w:val="0"/>
                <w:w w:val="70"/>
                <w:position w:val="0"/>
                <w:sz w:val="18"/>
                <w:szCs w:val="18"/>
                <w:shd w:val="clear" w:color="auto" w:fill="auto"/>
                <w:vertAlign w:val="subscript"/>
                <w:lang w:val="en-US" w:eastAsia="en-US" w:bidi="en-US"/>
              </w:rPr>
              <w:t>8</w:t>
            </w:r>
            <w:r>
              <w:rPr>
                <w:rFonts w:ascii="Arial" w:eastAsia="Arial" w:hAnsi="Arial" w:cs="Arial"/>
                <w:color w:val="4B4232"/>
                <w:spacing w:val="0"/>
                <w:w w:val="70"/>
                <w:position w:val="0"/>
                <w:sz w:val="18"/>
                <w:szCs w:val="18"/>
                <w:shd w:val="clear" w:color="auto" w:fill="auto"/>
                <w:lang w:val="en-US" w:eastAsia="en-US" w:bidi="en-US"/>
              </w:rPr>
              <w:t>...{</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11</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11</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shd w:val="clear" w:color="auto" w:fill="E1D0AC"/>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16</w:t>
            </w:r>
          </w:p>
        </w:tc>
        <w:tc>
          <w:tcPr>
            <w:gridSpan w:val="2"/>
            <w:tcBorders>
              <w:righ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w:t>
            </w:r>
          </w:p>
        </w:tc>
      </w:tr>
      <w:tr>
        <w:trPr>
          <w:trHeight w:val="149"/>
        </w:trPr>
        <w:tc>
          <w:tcPr>
            <w:vMerge/>
            <w:tcBorders>
              <w:left w:val="single" w:sz="4"/>
            </w:tcBorders>
            <w:shd w:val="clear" w:color="auto" w:fill="E1D0AC"/>
            <w:vAlign w:val="bottom"/>
          </w:tcPr>
          <w:p>
            <w:pP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15</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w:t>
            </w:r>
          </w:p>
        </w:tc>
        <w:tc>
          <w:tcPr>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w:t>
            </w:r>
          </w:p>
        </w:tc>
        <w:tc>
          <w:tcPr>
            <w:gridSpan w:val="2"/>
            <w:tcBorders>
              <w:righ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w:t>
            </w:r>
          </w:p>
        </w:tc>
      </w:tr>
      <w:tr>
        <w:trPr>
          <w:trHeight w:val="154"/>
        </w:trPr>
        <w:tc>
          <w:tcPr>
            <w:vMerge/>
            <w:tcBorders>
              <w:left w:val="single" w:sz="4"/>
            </w:tcBorders>
            <w:shd w:val="clear" w:color="auto" w:fill="E1D0AC"/>
            <w:vAlign w:val="bottom"/>
          </w:tcPr>
          <w:p>
            <w:pP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6</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7</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12</w:t>
            </w:r>
          </w:p>
        </w:tc>
        <w:tc>
          <w:tcPr>
            <w:gridSpan w:val="2"/>
            <w:tcBorders>
              <w:righ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w:t>
            </w:r>
          </w:p>
        </w:tc>
      </w:tr>
      <w:tr>
        <w:trPr>
          <w:trHeight w:val="145"/>
        </w:trPr>
        <w:tc>
          <w:tcPr>
            <w:vMerge/>
            <w:tcBorders>
              <w:left w:val="single" w:sz="4"/>
            </w:tcBorders>
            <w:shd w:val="clear" w:color="auto" w:fill="E1D0AC"/>
            <w:vAlign w:val="bottom"/>
          </w:tcPr>
          <w:p>
            <w:pP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6</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15</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w:t>
            </w:r>
          </w:p>
        </w:tc>
        <w:tc>
          <w:tcPr>
            <w:gridSpan w:val="2"/>
            <w:tcBorders>
              <w:left w:val="single" w:sz="4"/>
              <w:righ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w:t>
            </w:r>
          </w:p>
        </w:tc>
      </w:tr>
      <w:tr>
        <w:trPr>
          <w:trHeight w:val="149"/>
        </w:trPr>
        <w:tc>
          <w:tcPr>
            <w:vMerge w:val="restart"/>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left w:val="single" w:sz="4"/>
            </w:tcBorders>
            <w:shd w:val="clear" w:color="auto" w:fill="E1D0AC"/>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w:t>
            </w:r>
          </w:p>
        </w:tc>
        <w:tc>
          <w:tcPr>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18</w:t>
            </w:r>
          </w:p>
        </w:tc>
        <w:tc>
          <w:tcPr>
            <w:tcBorders>
              <w:left w:val="single" w:sz="4"/>
            </w:tcBorders>
            <w:shd w:val="clear" w:color="auto" w:fill="E1D0AC"/>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7</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gridSpan w:val="2"/>
            <w:tcBorders>
              <w:left w:val="single" w:sz="4"/>
              <w:righ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w:t>
            </w:r>
          </w:p>
        </w:tc>
      </w:tr>
      <w:tr>
        <w:trPr>
          <w:trHeight w:val="145"/>
        </w:trPr>
        <w:tc>
          <w:tcPr>
            <w:vMerge/>
            <w:tcBorders>
              <w:left w:val="single" w:sz="4"/>
            </w:tcBorders>
            <w:shd w:val="clear" w:color="auto" w:fill="E1D0AC"/>
            <w:vAlign w:val="top"/>
          </w:tcPr>
          <w:p>
            <w:pP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12</w:t>
            </w:r>
          </w:p>
        </w:tc>
        <w:tc>
          <w:tcPr>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c>
          <w:tcPr>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18</w:t>
            </w:r>
          </w:p>
        </w:tc>
        <w:tc>
          <w:tcPr>
            <w:tcBorders>
              <w:left w:val="single" w:sz="4"/>
            </w:tcBorders>
            <w:shd w:val="clear" w:color="auto" w:fill="E1D0AC"/>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7</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gridSpan w:val="2"/>
            <w:tcBorders>
              <w:left w:val="single" w:sz="4"/>
              <w:righ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w:t>
            </w:r>
          </w:p>
        </w:tc>
      </w:tr>
      <w:tr>
        <w:trPr>
          <w:trHeight w:val="149"/>
        </w:trPr>
        <w:tc>
          <w:tcPr>
            <w:vMerge/>
            <w:tcBorders>
              <w:left w:val="single" w:sz="4"/>
            </w:tcBorders>
            <w:shd w:val="clear" w:color="auto" w:fill="E1D0AC"/>
            <w:vAlign w:val="top"/>
          </w:tcPr>
          <w:p>
            <w:pP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de-DE" w:eastAsia="de-DE" w:bidi="de-DE"/>
              </w:rPr>
              <w:t>5</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12</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14</w:t>
            </w:r>
          </w:p>
        </w:tc>
        <w:tc>
          <w:tcPr>
            <w:gridSpan w:val="2"/>
            <w:tcBorders>
              <w:left w:val="single" w:sz="4"/>
              <w:righ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w:t>
            </w:r>
          </w:p>
        </w:tc>
      </w:tr>
      <w:tr>
        <w:trPr>
          <w:trHeight w:val="240"/>
        </w:trPr>
        <w:tc>
          <w:tcPr>
            <w:vMerge/>
            <w:tcBorders>
              <w:left w:val="single" w:sz="4"/>
              <w:bottom w:val="single" w:sz="4"/>
            </w:tcBorders>
            <w:shd w:val="clear" w:color="auto" w:fill="E1D0AC"/>
            <w:vAlign w:val="top"/>
          </w:tcPr>
          <w:p>
            <w:pPr/>
          </w:p>
        </w:tc>
        <w:tc>
          <w:tcPr>
            <w:tcBorders>
              <w:bottom w:val="single" w:sz="4"/>
            </w:tcBorders>
            <w:shd w:val="clear" w:color="auto" w:fill="E1D0AC"/>
            <w:vAlign w:val="top"/>
          </w:tcPr>
          <w:p>
            <w:pPr>
              <w:pStyle w:val="Style6"/>
              <w:keepNext w:val="0"/>
              <w:keepLines w:val="0"/>
              <w:widowControl w:val="0"/>
              <w:shd w:val="clear" w:color="auto" w:fill="auto"/>
              <w:bidi w:val="0"/>
              <w:spacing w:line="240" w:lineRule="auto"/>
              <w:ind w:left="0" w:firstLine="360"/>
              <w:jc w:val="left"/>
              <w:rPr>
                <w:sz w:val="15"/>
                <w:szCs w:val="15"/>
              </w:rPr>
            </w:pPr>
            <w:r>
              <w:rPr>
                <w:b/>
                <w:bCs/>
                <w:color w:val="000000"/>
                <w:spacing w:val="0"/>
                <w:w w:val="100"/>
                <w:position w:val="0"/>
                <w:sz w:val="15"/>
                <w:szCs w:val="15"/>
                <w:shd w:val="clear" w:color="auto" w:fill="auto"/>
                <w:lang w:val="en-US" w:eastAsia="en-US" w:bidi="en-US"/>
              </w:rPr>
              <w:t>4</w:t>
            </w:r>
          </w:p>
        </w:tc>
        <w:tc>
          <w:tcPr>
            <w:tcBorders>
              <w:left w:val="single" w:sz="4"/>
              <w:bottom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w:t>
            </w:r>
          </w:p>
        </w:tc>
        <w:tc>
          <w:tcPr>
            <w:tcBorders>
              <w:bottom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left w:val="single" w:sz="4"/>
              <w:bottom w:val="single" w:sz="4"/>
            </w:tcBorders>
            <w:shd w:val="clear" w:color="auto" w:fill="E1D0AC"/>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w:t>
            </w:r>
          </w:p>
        </w:tc>
        <w:tc>
          <w:tcPr>
            <w:tcBorders>
              <w:bottom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left w:val="single" w:sz="4"/>
              <w:bottom w:val="single" w:sz="4"/>
            </w:tcBorders>
            <w:shd w:val="clear" w:color="auto" w:fill="E1D0AC"/>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w:t>
            </w:r>
          </w:p>
        </w:tc>
        <w:tc>
          <w:tcPr>
            <w:tcBorders>
              <w:bottom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14</w:t>
            </w:r>
          </w:p>
        </w:tc>
        <w:tc>
          <w:tcPr>
            <w:gridSpan w:val="2"/>
            <w:tcBorders>
              <w:left w:val="single" w:sz="4"/>
              <w:bottom w:val="single" w:sz="4"/>
              <w:righ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w:t>
            </w:r>
          </w:p>
        </w:tc>
      </w:tr>
    </w:tbl>
    <w:p>
      <w:pPr>
        <w:widowControl w:val="0"/>
        <w:spacing w:after="59" w:line="1" w:lineRule="exact"/>
      </w:pP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In the experiments on the clenches, the clenches always gave way ; but with the forelocks it as frequently occurred that the forelock was cut off as that the bolt broke ; and in the cases of the bolt breaking, it was invariably across the forelock hole. According to the tables, the security of a forelock is about half that of a clench.</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It appears an anomaly that the strength of a clench on copper should be equal to that of one on iron. But, in con</w:t>
        <w:softHyphen/>
        <w:t>sequence of the greater ductility of copper, a better clench is formed on it than on iron. Generally the thickness of the fractured clench in the copper was double that in the iron. With rings of the usual width for the clenches, the wood will break away under the ring, and the ring be imbedded for two or more inches before the clench will give way.</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“With the inch copper bolts, all the rings under the clenches turned up into the shape of the frustum of a cone, and allow</w:t>
        <w:softHyphen/>
        <w:t>ed the clench to slip through at the weights specified.</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Experiments with ring-bolts were made to ascertain the strength of the rings in comparison with the clenches. The rings were of the usual size, viz. the iron of the ring one eighth inch less in diameter than that of the bolt. It was found that the rings always carried away the clenches, but that they were drawn into the form of a link with per</w:t>
        <w:softHyphen/>
        <w:t>fectly straight sides. The rings bore, before any change of form took place, not quite one half the weight which tore off the clenches. It appears that the rings are well pro</w:t>
        <w:softHyphen/>
        <w:t>portioned to the strength of the clenches.</w:t>
      </w:r>
    </w:p>
    <w:p>
      <w:pPr>
        <w:pStyle w:val="Style2"/>
        <w:keepNext w:val="0"/>
        <w:keepLines w:val="0"/>
        <w:widowControl w:val="0"/>
        <w:shd w:val="clear" w:color="auto" w:fill="auto"/>
        <w:bidi w:val="0"/>
        <w:spacing w:line="223" w:lineRule="auto"/>
        <w:ind w:left="360" w:hanging="360"/>
        <w:jc w:val="left"/>
        <w:rPr>
          <w:sz w:val="16"/>
          <w:szCs w:val="16"/>
        </w:rPr>
      </w:pPr>
      <w:r>
        <w:rPr>
          <w:i/>
          <w:iCs/>
          <w:color w:val="574938"/>
          <w:spacing w:val="0"/>
          <w:w w:val="100"/>
          <w:position w:val="0"/>
          <w:sz w:val="16"/>
          <w:szCs w:val="16"/>
          <w:shd w:val="clear" w:color="auto" w:fill="auto"/>
          <w:lang w:val="en-US" w:eastAsia="en-US" w:bidi="en-US"/>
        </w:rPr>
        <w:t>“ Table of the Transverse Strength of Treenails of English Ooh used as fastening for Plonks of three and of six inches in thickness, and subjected to a Strain, as shown to be applied in fig.</w:t>
      </w:r>
      <w:r>
        <w:rPr>
          <w:color w:val="574938"/>
          <w:spacing w:val="0"/>
          <w:w w:val="100"/>
          <w:position w:val="0"/>
          <w:sz w:val="16"/>
          <w:szCs w:val="16"/>
          <w:shd w:val="clear" w:color="auto" w:fill="auto"/>
          <w:lang w:val="en-US" w:eastAsia="en-US" w:bidi="en-US"/>
        </w:rPr>
        <w:t xml:space="preserve"> 58.</w:t>
      </w:r>
    </w:p>
    <w:tbl>
      <w:tblPr>
        <w:tblOverlap w:val="never"/>
        <w:jc w:val="left"/>
        <w:tblLayout w:type="fixed"/>
      </w:tblPr>
      <w:tblGrid>
        <w:gridCol w:w="625"/>
        <w:gridCol w:w="254"/>
        <w:gridCol w:w="226"/>
        <w:gridCol w:w="217"/>
        <w:gridCol w:w="245"/>
        <w:gridCol w:w="235"/>
        <w:gridCol w:w="231"/>
        <w:gridCol w:w="204"/>
        <w:gridCol w:w="285"/>
        <w:gridCol w:w="217"/>
        <w:gridCol w:w="254"/>
        <w:gridCol w:w="177"/>
        <w:gridCol w:w="222"/>
        <w:gridCol w:w="177"/>
        <w:gridCol w:w="213"/>
        <w:gridCol w:w="195"/>
        <w:gridCol w:w="226"/>
      </w:tblGrid>
      <w:tr>
        <w:trPr>
          <w:trHeight w:val="208"/>
        </w:trPr>
        <w:tc>
          <w:tcPr>
            <w:vMerge w:val="restart"/>
            <w:tcBorders>
              <w:top w:val="single" w:sz="4"/>
              <w:left w:val="single" w:sz="4"/>
            </w:tcBorders>
            <w:shd w:val="clear" w:color="auto" w:fill="E1D0AC"/>
            <w:vAlign w:val="center"/>
          </w:tcPr>
          <w:p>
            <w:pPr>
              <w:pStyle w:val="Style6"/>
              <w:keepNext w:val="0"/>
              <w:keepLines w:val="0"/>
              <w:widowControl w:val="0"/>
              <w:shd w:val="clear" w:color="auto" w:fill="auto"/>
              <w:bidi w:val="0"/>
              <w:spacing w:line="202" w:lineRule="auto"/>
              <w:ind w:left="0" w:firstLine="0"/>
              <w:jc w:val="left"/>
              <w:rPr>
                <w:sz w:val="11"/>
                <w:szCs w:val="11"/>
              </w:rPr>
            </w:pPr>
            <w:r>
              <w:rPr>
                <w:b/>
                <w:bCs/>
                <w:color w:val="4B4232"/>
                <w:spacing w:val="0"/>
                <w:w w:val="100"/>
                <w:position w:val="0"/>
                <w:sz w:val="11"/>
                <w:szCs w:val="11"/>
                <w:shd w:val="clear" w:color="auto" w:fill="auto"/>
                <w:lang w:val="en-US" w:eastAsia="en-US" w:bidi="en-US"/>
              </w:rPr>
              <w:t>Number of the Experiment.</w:t>
            </w:r>
          </w:p>
        </w:tc>
        <w:tc>
          <w:tcPr>
            <w:gridSpan w:val="16"/>
            <w:tcBorders>
              <w:top w:val="single" w:sz="4"/>
              <w:left w:val="single" w:sz="4"/>
              <w:righ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Diameter of the Treenails.</w:t>
            </w:r>
          </w:p>
        </w:tc>
      </w:tr>
      <w:tr>
        <w:trPr>
          <w:trHeight w:val="235"/>
        </w:trPr>
        <w:tc>
          <w:tcPr>
            <w:vMerge/>
            <w:tcBorders>
              <w:left w:val="single" w:sz="4"/>
            </w:tcBorders>
            <w:shd w:val="clear" w:color="auto" w:fill="E1D0AC"/>
            <w:vAlign w:val="center"/>
          </w:tcPr>
          <w:p>
            <w:pPr/>
          </w:p>
        </w:tc>
        <w:tc>
          <w:tcPr>
            <w:gridSpan w:val="4"/>
            <w:tcBorders>
              <w:top w:val="single" w:sz="4"/>
              <w:left w:val="single" w:sz="4"/>
            </w:tcBorders>
            <w:shd w:val="clear" w:color="auto" w:fill="E1D0AC"/>
            <w:vAlign w:val="center"/>
          </w:tcPr>
          <w:p>
            <w:pPr>
              <w:pStyle w:val="Style6"/>
              <w:keepNext w:val="0"/>
              <w:keepLines w:val="0"/>
              <w:widowControl w:val="0"/>
              <w:shd w:val="clear" w:color="auto" w:fill="auto"/>
              <w:bidi w:val="0"/>
              <w:spacing w:line="240" w:lineRule="auto"/>
              <w:ind w:left="0" w:firstLine="360"/>
              <w:jc w:val="left"/>
              <w:rPr>
                <w:sz w:val="11"/>
                <w:szCs w:val="11"/>
              </w:rPr>
            </w:pPr>
            <w:r>
              <w:rPr>
                <w:b/>
                <w:bCs/>
                <w:color w:val="4B4232"/>
                <w:spacing w:val="0"/>
                <w:w w:val="100"/>
                <w:position w:val="0"/>
                <w:sz w:val="11"/>
                <w:szCs w:val="11"/>
                <w:shd w:val="clear" w:color="auto" w:fill="auto"/>
                <w:lang w:val="en-US" w:eastAsia="en-US" w:bidi="en-US"/>
              </w:rPr>
              <w:t>1 Inch.</w:t>
            </w:r>
          </w:p>
        </w:tc>
        <w:tc>
          <w:tcPr>
            <w:gridSpan w:val="4"/>
            <w:tcBorders>
              <w:top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1¼ Inch.</w:t>
            </w:r>
          </w:p>
        </w:tc>
        <w:tc>
          <w:tcPr>
            <w:gridSpan w:val="4"/>
            <w:tcBorders>
              <w:top w:val="single" w:sz="4"/>
            </w:tcBorders>
            <w:shd w:val="clear" w:color="auto" w:fill="E1D0AC"/>
            <w:vAlign w:val="center"/>
          </w:tcPr>
          <w:p>
            <w:pPr>
              <w:pStyle w:val="Style6"/>
              <w:keepNext w:val="0"/>
              <w:keepLines w:val="0"/>
              <w:widowControl w:val="0"/>
              <w:shd w:val="clear" w:color="auto" w:fill="auto"/>
              <w:tabs>
                <w:tab w:pos="245" w:val="left"/>
              </w:tabs>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1½ Inch.</w:t>
            </w:r>
          </w:p>
        </w:tc>
        <w:tc>
          <w:tcPr>
            <w:gridSpan w:val="4"/>
            <w:tcBorders>
              <w:top w:val="single" w:sz="4"/>
              <w:right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1¾ Inch.</w:t>
            </w:r>
          </w:p>
        </w:tc>
      </w:tr>
      <w:tr>
        <w:trPr>
          <w:trHeight w:val="213"/>
        </w:trPr>
        <w:tc>
          <w:tcPr>
            <w:vMerge/>
            <w:tcBorders>
              <w:left w:val="single" w:sz="4"/>
            </w:tcBorders>
            <w:shd w:val="clear" w:color="auto" w:fill="E1D0AC"/>
            <w:vAlign w:val="center"/>
          </w:tcPr>
          <w:p>
            <w:pPr/>
          </w:p>
        </w:tc>
        <w:tc>
          <w:tcPr>
            <w:gridSpan w:val="16"/>
            <w:tcBorders>
              <w:top w:val="single" w:sz="4"/>
              <w:left w:val="single" w:sz="4"/>
              <w:righ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Thickness of the Plank.</w:t>
            </w:r>
          </w:p>
        </w:tc>
      </w:tr>
      <w:tr>
        <w:trPr>
          <w:trHeight w:val="245"/>
        </w:trPr>
        <w:tc>
          <w:tcPr>
            <w:vMerge/>
            <w:tcBorders>
              <w:left w:val="single" w:sz="4"/>
            </w:tcBorders>
            <w:shd w:val="clear" w:color="auto" w:fill="E1D0AC"/>
            <w:vAlign w:val="center"/>
          </w:tcPr>
          <w:p>
            <w:pPr/>
          </w:p>
        </w:tc>
        <w:tc>
          <w:tcPr>
            <w:gridSpan w:val="2"/>
            <w:tcBorders>
              <w:top w:val="single" w:sz="4"/>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3 In.</w:t>
            </w:r>
          </w:p>
        </w:tc>
        <w:tc>
          <w:tcPr>
            <w:gridSpan w:val="2"/>
            <w:tcBorders>
              <w:top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6 In.</w:t>
            </w:r>
          </w:p>
        </w:tc>
        <w:tc>
          <w:tcPr>
            <w:gridSpan w:val="2"/>
            <w:tcBorders>
              <w:top w:val="single" w:sz="4"/>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3 in.</w:t>
            </w:r>
          </w:p>
        </w:tc>
        <w:tc>
          <w:tcPr>
            <w:gridSpan w:val="2"/>
            <w:tcBorders>
              <w:top w:val="single" w:sz="4"/>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6 In.</w:t>
            </w:r>
          </w:p>
        </w:tc>
        <w:tc>
          <w:tcPr>
            <w:gridSpan w:val="2"/>
            <w:tcBorders>
              <w:top w:val="single" w:sz="4"/>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3 In.</w:t>
            </w:r>
          </w:p>
        </w:tc>
        <w:tc>
          <w:tcPr>
            <w:gridSpan w:val="2"/>
            <w:tcBorders>
              <w:top w:val="single" w:sz="4"/>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6 In.</w:t>
            </w:r>
          </w:p>
        </w:tc>
        <w:tc>
          <w:tcPr>
            <w:gridSpan w:val="2"/>
            <w:tcBorders>
              <w:top w:val="single" w:sz="4"/>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3 In.</w:t>
            </w:r>
          </w:p>
        </w:tc>
        <w:tc>
          <w:tcPr>
            <w:gridSpan w:val="2"/>
            <w:tcBorders>
              <w:top w:val="single" w:sz="4"/>
              <w:left w:val="single" w:sz="4"/>
              <w:righ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6 In.</w:t>
            </w:r>
          </w:p>
        </w:tc>
      </w:tr>
      <w:tr>
        <w:trPr>
          <w:trHeight w:val="145"/>
        </w:trPr>
        <w:tc>
          <w:tcPr>
            <w:tcBorders>
              <w:top w:val="single" w:sz="4"/>
              <w:left w:val="single" w:sz="4"/>
            </w:tcBorders>
            <w:shd w:val="clear" w:color="auto" w:fill="E1D0AC"/>
            <w:vAlign w:val="top"/>
          </w:tcPr>
          <w:p>
            <w:pPr>
              <w:widowControl w:val="0"/>
              <w:rPr>
                <w:sz w:val="10"/>
                <w:szCs w:val="10"/>
              </w:rPr>
            </w:pPr>
          </w:p>
        </w:tc>
        <w:tc>
          <w:tcPr>
            <w:tcBorders>
              <w:top w:val="single" w:sz="4"/>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T.</w:t>
            </w:r>
          </w:p>
        </w:tc>
        <w:tc>
          <w:tcPr>
            <w:tcBorders>
              <w:top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w:t>
            </w:r>
          </w:p>
        </w:tc>
        <w:tc>
          <w:tcPr>
            <w:tcBorders>
              <w:top w:val="single" w:sz="4"/>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T.</w:t>
            </w:r>
          </w:p>
        </w:tc>
        <w:tc>
          <w:tcPr>
            <w:tcBorders>
              <w:top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C.</w:t>
            </w:r>
          </w:p>
        </w:tc>
        <w:tc>
          <w:tcPr>
            <w:tcBorders>
              <w:top w:val="single" w:sz="4"/>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T.</w:t>
            </w:r>
          </w:p>
        </w:tc>
        <w:tc>
          <w:tcPr>
            <w:tcBorders>
              <w:top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w:t>
            </w:r>
          </w:p>
        </w:tc>
        <w:tc>
          <w:tcPr>
            <w:tcBorders>
              <w:top w:val="single" w:sz="4"/>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w:t>
            </w:r>
          </w:p>
        </w:tc>
        <w:tc>
          <w:tcPr>
            <w:tcBorders>
              <w:top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C</w:t>
            </w:r>
            <w:r>
              <w:rPr>
                <w:rFonts w:ascii="Arial" w:eastAsia="Arial" w:hAnsi="Arial" w:cs="Arial"/>
                <w:i/>
                <w:iCs/>
                <w:color w:val="4B4232"/>
                <w:spacing w:val="0"/>
                <w:w w:val="100"/>
                <w:position w:val="0"/>
                <w:sz w:val="13"/>
                <w:szCs w:val="13"/>
                <w:shd w:val="clear" w:color="auto" w:fill="auto"/>
                <w:lang w:val="en-US" w:eastAsia="en-US" w:bidi="en-US"/>
              </w:rPr>
              <w:t>.</w:t>
            </w:r>
          </w:p>
        </w:tc>
        <w:tc>
          <w:tcPr>
            <w:tcBorders>
              <w:top w:val="single" w:sz="4"/>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w:t>
            </w:r>
          </w:p>
        </w:tc>
        <w:tc>
          <w:tcPr>
            <w:tcBorders>
              <w:top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C.</w:t>
            </w:r>
          </w:p>
        </w:tc>
        <w:tc>
          <w:tcPr>
            <w:tcBorders>
              <w:top w:val="single" w:sz="4"/>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T.</w:t>
            </w:r>
          </w:p>
        </w:tc>
        <w:tc>
          <w:tcPr>
            <w:tcBorders>
              <w:top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C.</w:t>
            </w:r>
          </w:p>
        </w:tc>
        <w:tc>
          <w:tcPr>
            <w:tcBorders>
              <w:top w:val="single" w:sz="4"/>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T.</w:t>
            </w:r>
          </w:p>
        </w:tc>
        <w:tc>
          <w:tcPr>
            <w:tcBorders>
              <w:top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C.</w:t>
            </w:r>
          </w:p>
        </w:tc>
        <w:tc>
          <w:tcPr>
            <w:tcBorders>
              <w:top w:val="single" w:sz="4"/>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T.</w:t>
            </w:r>
          </w:p>
        </w:tc>
        <w:tc>
          <w:tcPr>
            <w:tcBorders>
              <w:top w:val="single" w:sz="4"/>
              <w:righ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C.</w:t>
            </w:r>
          </w:p>
        </w:tc>
      </w:tr>
      <w:tr>
        <w:trPr>
          <w:trHeight w:val="154"/>
        </w:trPr>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1</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b/>
                <w:bCs/>
                <w:color w:val="4B4232"/>
                <w:spacing w:val="0"/>
                <w:w w:val="100"/>
                <w:position w:val="0"/>
                <w:sz w:val="13"/>
                <w:szCs w:val="13"/>
                <w:shd w:val="clear" w:color="auto" w:fill="auto"/>
                <w:lang w:val="en-US" w:eastAsia="en-US" w:bidi="en-US"/>
              </w:rPr>
              <w:t>7</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14</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12</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6</w:t>
            </w:r>
          </w:p>
        </w:tc>
        <w:tc>
          <w:tcPr>
            <w:tcBorders>
              <w:righ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r>
      <w:tr>
        <w:trPr>
          <w:trHeight w:val="154"/>
        </w:trPr>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7</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1</w:t>
            </w:r>
          </w:p>
        </w:tc>
        <w:tc>
          <w:tcPr>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15</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i/>
                <w:iCs/>
                <w:color w:val="4B4232"/>
                <w:spacing w:val="0"/>
                <w:w w:val="100"/>
                <w:position w:val="0"/>
                <w:sz w:val="13"/>
                <w:szCs w:val="13"/>
                <w:shd w:val="clear" w:color="auto" w:fill="auto"/>
                <w:lang w:val="en-US" w:eastAsia="en-US" w:bidi="en-US"/>
              </w:rPr>
              <w:t>2</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6</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2</w:t>
            </w:r>
          </w:p>
        </w:tc>
        <w:tc>
          <w:tcPr>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left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right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13</w:t>
            </w:r>
          </w:p>
        </w:tc>
      </w:tr>
      <w:tr>
        <w:trPr>
          <w:trHeight w:val="154"/>
        </w:trPr>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fr-FR" w:eastAsia="fr-FR" w:bidi="fr-FR"/>
              </w:rPr>
              <w:t>8</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17</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19</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l-GR" w:eastAsia="el-GR" w:bidi="el-GR"/>
              </w:rPr>
              <w:t>15</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4</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righ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r>
      <w:tr>
        <w:trPr>
          <w:trHeight w:val="158"/>
        </w:trPr>
        <w:tc>
          <w:tcPr>
            <w:tcBorders>
              <w:left w:val="single" w:sz="4"/>
            </w:tcBorders>
            <w:shd w:val="clear" w:color="auto" w:fill="E1D0AC"/>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4</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Arial" w:eastAsia="Arial" w:hAnsi="Arial" w:cs="Arial"/>
                <w:color w:val="4B4232"/>
                <w:spacing w:val="0"/>
                <w:w w:val="100"/>
                <w:position w:val="0"/>
                <w:sz w:val="13"/>
                <w:szCs w:val="13"/>
                <w:shd w:val="clear" w:color="auto" w:fill="auto"/>
                <w:lang w:val="en-US" w:eastAsia="en-US" w:bidi="en-US"/>
              </w:rPr>
              <w:t>5</w:t>
            </w:r>
            <w:r>
              <w:rPr>
                <w:b/>
                <w:bCs/>
                <w:color w:val="4B4232"/>
                <w:spacing w:val="0"/>
                <w:w w:val="100"/>
                <w:position w:val="0"/>
                <w:sz w:val="11"/>
                <w:szCs w:val="11"/>
                <w:shd w:val="clear" w:color="auto" w:fill="auto"/>
                <w:lang w:val="en-US" w:eastAsia="en-US" w:bidi="en-US"/>
              </w:rPr>
              <w:t>½</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4</w:t>
            </w:r>
          </w:p>
        </w:tc>
        <w:tc>
          <w:tcPr>
            <w:tcBorders>
              <w:left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12</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w:t>
            </w:r>
          </w:p>
        </w:tc>
        <w:tc>
          <w:tcPr>
            <w:tcBorders>
              <w:left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righ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w:t>
            </w:r>
          </w:p>
        </w:tc>
      </w:tr>
      <w:tr>
        <w:trPr>
          <w:trHeight w:val="127"/>
        </w:trPr>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12</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15</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18</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righ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r>
      <w:tr>
        <w:trPr>
          <w:trHeight w:val="158"/>
        </w:trPr>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6</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9</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w:t>
            </w:r>
          </w:p>
        </w:tc>
        <w:tc>
          <w:tcPr>
            <w:tcBorders>
              <w:left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c>
          <w:tcPr>
            <w:tcBorders>
              <w:right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w:t>
            </w:r>
          </w:p>
        </w:tc>
      </w:tr>
      <w:tr>
        <w:trPr>
          <w:trHeight w:val="145"/>
        </w:trPr>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4</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righ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12</w:t>
            </w:r>
          </w:p>
        </w:tc>
      </w:tr>
      <w:tr>
        <w:trPr>
          <w:trHeight w:val="149"/>
        </w:trPr>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6</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fr-FR" w:eastAsia="fr-FR" w:bidi="fr-FR"/>
              </w:rPr>
              <w:t>0</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righ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13</w:t>
            </w:r>
          </w:p>
        </w:tc>
      </w:tr>
      <w:tr>
        <w:trPr>
          <w:trHeight w:val="154"/>
        </w:trPr>
        <w:tc>
          <w:tcPr>
            <w:tcBorders>
              <w:left w:val="single" w:sz="4"/>
            </w:tcBorders>
            <w:shd w:val="clear" w:color="auto" w:fill="E1D0AC"/>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9</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fr-FR" w:eastAsia="fr-FR" w:bidi="fr-FR"/>
              </w:rPr>
              <w:t>8</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12</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left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w:t>
            </w:r>
          </w:p>
        </w:tc>
        <w:tc>
          <w:tcPr>
            <w:tcBorders>
              <w:left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w:t>
            </w:r>
          </w:p>
        </w:tc>
        <w:tc>
          <w:tcPr>
            <w:tcBorders>
              <w:left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c>
          <w:tcPr>
            <w:tcBorders>
              <w:left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5"/>
                <w:szCs w:val="15"/>
              </w:rPr>
            </w:pPr>
            <w:r>
              <w:rPr>
                <w:b/>
                <w:bCs/>
                <w:color w:val="4B4232"/>
                <w:spacing w:val="0"/>
                <w:w w:val="100"/>
                <w:position w:val="0"/>
                <w:sz w:val="15"/>
                <w:szCs w:val="15"/>
                <w:shd w:val="clear" w:color="auto" w:fill="auto"/>
                <w:lang w:val="en-US" w:eastAsia="en-US" w:bidi="en-US"/>
              </w:rPr>
              <w:t>4</w:t>
            </w:r>
          </w:p>
        </w:tc>
        <w:tc>
          <w:tcPr>
            <w:tcBorders>
              <w:right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13</w:t>
            </w:r>
          </w:p>
        </w:tc>
      </w:tr>
      <w:tr>
        <w:trPr>
          <w:trHeight w:val="145"/>
        </w:trPr>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15</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righ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r>
      <w:tr>
        <w:trPr>
          <w:trHeight w:val="149"/>
        </w:trPr>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11</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fr-FR" w:eastAsia="fr-FR" w:bidi="fr-FR"/>
              </w:rPr>
              <w:t>0</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9</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i/>
                <w:iCs/>
                <w:color w:val="4B4232"/>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18</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o</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righ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w:t>
            </w:r>
          </w:p>
        </w:tc>
      </w:tr>
      <w:tr>
        <w:trPr>
          <w:trHeight w:val="145"/>
        </w:trPr>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12</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lef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4</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w:t>
            </w:r>
          </w:p>
        </w:tc>
        <w:tc>
          <w:tcPr>
            <w:tcBorders>
              <w:right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w:t>
            </w:r>
          </w:p>
        </w:tc>
      </w:tr>
      <w:tr>
        <w:trPr>
          <w:trHeight w:val="240"/>
        </w:trPr>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13</w:t>
            </w:r>
          </w:p>
        </w:tc>
        <w:tc>
          <w:tcPr>
            <w:tcBorders>
              <w:left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16</w:t>
            </w:r>
          </w:p>
        </w:tc>
        <w:tc>
          <w:tcPr>
            <w:tcBorders>
              <w:left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w:t>
            </w:r>
          </w:p>
        </w:tc>
        <w:tc>
          <w:tcPr>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17</w:t>
            </w:r>
          </w:p>
        </w:tc>
        <w:tc>
          <w:tcPr>
            <w:tcBorders>
              <w:left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18</w:t>
            </w:r>
          </w:p>
        </w:tc>
        <w:tc>
          <w:tcPr>
            <w:tcBorders>
              <w:lef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6</w:t>
            </w:r>
          </w:p>
        </w:tc>
        <w:tc>
          <w:tcPr>
            <w:tcBorders>
              <w:right w:val="single" w:sz="4"/>
            </w:tcBorders>
            <w:shd w:val="clear" w:color="auto" w:fill="E1D0AC"/>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w:t>
            </w:r>
          </w:p>
        </w:tc>
      </w:tr>
      <w:tr>
        <w:trPr>
          <w:trHeight w:val="254"/>
        </w:trPr>
        <w:tc>
          <w:tcPr>
            <w:tcBorders>
              <w:left w:val="single" w:sz="4"/>
              <w:bottom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Average</w:t>
            </w:r>
          </w:p>
        </w:tc>
        <w:tc>
          <w:tcPr>
            <w:tcBorders>
              <w:top w:val="single" w:sz="4"/>
              <w:left w:val="single" w:sz="4"/>
              <w:bottom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w:t>
            </w:r>
          </w:p>
        </w:tc>
        <w:tc>
          <w:tcPr>
            <w:tcBorders>
              <w:top w:val="single" w:sz="4"/>
              <w:bottom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11</w:t>
            </w:r>
          </w:p>
        </w:tc>
        <w:tc>
          <w:tcPr>
            <w:tcBorders>
              <w:top w:val="single" w:sz="4"/>
              <w:left w:val="single" w:sz="4"/>
              <w:bottom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top w:val="single" w:sz="4"/>
              <w:bottom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13</w:t>
            </w:r>
          </w:p>
        </w:tc>
        <w:tc>
          <w:tcPr>
            <w:tcBorders>
              <w:top w:val="single" w:sz="4"/>
              <w:bottom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top w:val="single" w:sz="4"/>
              <w:bottom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c>
          <w:tcPr>
            <w:tcBorders>
              <w:top w:val="single" w:sz="4"/>
              <w:left w:val="single" w:sz="4"/>
              <w:bottom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i/>
                <w:iCs/>
                <w:color w:val="4B4232"/>
                <w:spacing w:val="0"/>
                <w:w w:val="100"/>
                <w:position w:val="0"/>
                <w:sz w:val="13"/>
                <w:szCs w:val="13"/>
                <w:shd w:val="clear" w:color="auto" w:fill="auto"/>
                <w:lang w:val="en-US" w:eastAsia="en-US" w:bidi="en-US"/>
              </w:rPr>
              <w:t>2</w:t>
            </w:r>
          </w:p>
        </w:tc>
        <w:tc>
          <w:tcPr>
            <w:tcBorders>
              <w:top w:val="single" w:sz="4"/>
              <w:bottom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6</w:t>
            </w:r>
          </w:p>
        </w:tc>
        <w:tc>
          <w:tcPr>
            <w:tcBorders>
              <w:top w:val="single" w:sz="4"/>
              <w:left w:val="single" w:sz="4"/>
              <w:bottom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top w:val="single" w:sz="4"/>
              <w:bottom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16</w:t>
            </w:r>
          </w:p>
        </w:tc>
        <w:tc>
          <w:tcPr>
            <w:tcBorders>
              <w:top w:val="single" w:sz="4"/>
              <w:left w:val="single" w:sz="4"/>
              <w:bottom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top w:val="single" w:sz="4"/>
              <w:bottom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w:t>
            </w:r>
          </w:p>
        </w:tc>
        <w:tc>
          <w:tcPr>
            <w:tcBorders>
              <w:top w:val="single" w:sz="4"/>
              <w:left w:val="single" w:sz="4"/>
              <w:bottom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w:t>
            </w:r>
          </w:p>
        </w:tc>
        <w:tc>
          <w:tcPr>
            <w:tcBorders>
              <w:top w:val="single" w:sz="4"/>
              <w:bottom w:val="single" w:sz="4"/>
            </w:tcBorders>
            <w:shd w:val="clear" w:color="auto" w:fill="E1D0AC"/>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w:t>
            </w:r>
          </w:p>
        </w:tc>
        <w:tc>
          <w:tcPr>
            <w:tcBorders>
              <w:top w:val="single" w:sz="4"/>
              <w:bottom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top w:val="single" w:sz="4"/>
              <w:bottom w:val="single" w:sz="4"/>
              <w:right w:val="single" w:sz="4"/>
            </w:tcBorders>
            <w:shd w:val="clear" w:color="auto" w:fill="E1D0AC"/>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r>
    </w:tbl>
    <w:p>
      <w:pPr>
        <w:widowControl w:val="0"/>
        <w:spacing w:after="99" w:line="1" w:lineRule="exact"/>
      </w:pP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In all these experiments on treenails, when the tree</w:t>
        <w:softHyphen/>
        <w:t>nails were evidently good, they gave way gradually. In some of the rejected experiments, however, the treenails certainly did break off suddenly, but then they were evi</w:t>
        <w:softHyphen/>
        <w:t>dently on examination either had or over-seasoned tree</w:t>
        <w:softHyphen/>
        <w:t>nails. It is no uncommon remark in caulking down the bottom of a vessel, that the caulkers break off the treenails by caulking, and that they hear them crack or break off suddenly. Now I do not believe that this cracking of the treenails takes place so frequently as it is supposed. What the men hear is the starting of the plank on the different fastenings. It has been asserted that the treenails made from the Sussex oak are much stronger than those made from the New Forest timber, or any other English oak. To ascertain the truth of this assertion, some experiments were made with Sussex and New Forest treenails of all sizes ; and the result was, that there was not the least difference in them, the New Forest were on experiment quite as strong as the Sussex.</w:t>
      </w:r>
    </w:p>
    <w:p>
      <w:pPr>
        <w:pStyle w:val="Style2"/>
        <w:keepNext w:val="0"/>
        <w:keepLines w:val="0"/>
        <w:widowControl w:val="0"/>
        <w:shd w:val="clear" w:color="auto" w:fill="auto"/>
        <w:tabs>
          <w:tab w:pos="3550" w:val="left"/>
        </w:tabs>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In the experiments on treenails, the plank generally moved about half an inch previous to the fracture of the treenail.”</w:t>
        <w:tab/>
      </w:r>
      <w:r>
        <w:rPr>
          <w:smallCaps/>
          <w:color w:val="574938"/>
          <w:spacing w:val="0"/>
          <w:w w:val="100"/>
          <w:position w:val="0"/>
          <w:sz w:val="16"/>
          <w:szCs w:val="16"/>
          <w:shd w:val="clear" w:color="auto" w:fill="auto"/>
          <w:lang w:val="en-US" w:eastAsia="en-US" w:bidi="en-US"/>
        </w:rPr>
        <w:t>(b. z.)</w:t>
      </w:r>
    </w:p>
    <w:p>
      <w:pPr>
        <w:pStyle w:val="Style2"/>
        <w:keepNext w:val="0"/>
        <w:keepLines w:val="0"/>
        <w:widowControl w:val="0"/>
        <w:shd w:val="clear" w:color="auto" w:fill="auto"/>
        <w:bidi w:val="0"/>
        <w:spacing w:line="228" w:lineRule="auto"/>
        <w:ind w:left="0" w:firstLine="360"/>
        <w:jc w:val="left"/>
        <w:rPr>
          <w:sz w:val="16"/>
          <w:szCs w:val="16"/>
        </w:rPr>
      </w:pPr>
      <w:r>
        <w:rPr>
          <w:smallCaps/>
          <w:color w:val="000000"/>
          <w:spacing w:val="0"/>
          <w:w w:val="100"/>
          <w:position w:val="0"/>
          <w:sz w:val="16"/>
          <w:szCs w:val="16"/>
          <w:shd w:val="clear" w:color="auto" w:fill="auto"/>
          <w:lang w:val="en-US" w:eastAsia="en-US" w:bidi="en-US"/>
        </w:rPr>
        <w:t>SHIPSTON-on-Stour,</w:t>
      </w:r>
      <w:r>
        <w:rPr>
          <w:color w:val="000000"/>
          <w:spacing w:val="0"/>
          <w:w w:val="100"/>
          <w:position w:val="0"/>
          <w:sz w:val="16"/>
          <w:szCs w:val="16"/>
          <w:shd w:val="clear" w:color="auto" w:fill="auto"/>
          <w:lang w:val="en-US" w:eastAsia="en-US" w:bidi="en-US"/>
        </w:rPr>
        <w:t xml:space="preserve"> a town of the hundred of Oswaldslow, in the county of Worcester, but detached from it, and surrounded by Gloucestershire. It is eighty-three miles from London, lias little trade except what arises from its great sheep-fairs. It has a large market on Friday. The population amounted in 1801 to 1293, in 1811 to 1377, in 1821 to 1562, and in 1831 to 1632.</w:t>
      </w:r>
    </w:p>
    <w:p>
      <w:pPr>
        <w:pStyle w:val="Style2"/>
        <w:keepNext w:val="0"/>
        <w:keepLines w:val="0"/>
        <w:widowControl w:val="0"/>
        <w:shd w:val="clear" w:color="auto" w:fill="auto"/>
        <w:bidi w:val="0"/>
        <w:spacing w:line="228" w:lineRule="auto"/>
        <w:ind w:left="0" w:firstLine="0"/>
        <w:jc w:val="left"/>
        <w:rPr>
          <w:sz w:val="16"/>
          <w:szCs w:val="16"/>
        </w:rPr>
      </w:pPr>
      <w:r>
        <w:rPr>
          <w:i/>
          <w:iCs/>
          <w:smallCaps/>
          <w:color w:val="000000"/>
          <w:spacing w:val="0"/>
          <w:w w:val="100"/>
          <w:position w:val="0"/>
          <w:sz w:val="16"/>
          <w:szCs w:val="16"/>
          <w:shd w:val="clear" w:color="auto" w:fill="auto"/>
          <w:lang w:val="en-US" w:eastAsia="en-US" w:bidi="en-US"/>
        </w:rPr>
        <w:t>Ship-</w:t>
      </w:r>
      <w:r>
        <w:rPr>
          <w:i/>
          <w:iCs/>
          <w:color w:val="000000"/>
          <w:spacing w:val="0"/>
          <w:w w:val="100"/>
          <w:position w:val="0"/>
          <w:sz w:val="16"/>
          <w:szCs w:val="16"/>
          <w:shd w:val="clear" w:color="auto" w:fill="auto"/>
          <w:lang w:val="en-US" w:eastAsia="en-US" w:bidi="en-US"/>
        </w:rPr>
        <w:t>Money</w:t>
      </w:r>
      <w:r>
        <w:rPr>
          <w:color w:val="000000"/>
          <w:spacing w:val="0"/>
          <w:w w:val="100"/>
          <w:position w:val="0"/>
          <w:sz w:val="16"/>
          <w:szCs w:val="16"/>
          <w:shd w:val="clear" w:color="auto" w:fill="auto"/>
          <w:lang w:val="en-US" w:eastAsia="en-US" w:bidi="en-US"/>
        </w:rPr>
        <w:t xml:space="preserve"> was an imposition charged upon the ports, towns, cities, boroughs, and counties of England, in the reign of King Charles I., by writs, commonly called ship</w:t>
        <w:softHyphen/>
        <w:t xml:space="preserve">writs, under the great seal of England, in the years 1635 and 1636, for the providing and furnishing of certain ships for the king’s service, which was declared to be contrary </w:t>
      </w:r>
      <w:r>
        <w:rPr>
          <w:color w:val="574938"/>
          <w:spacing w:val="0"/>
          <w:w w:val="100"/>
          <w:position w:val="0"/>
          <w:sz w:val="16"/>
          <w:szCs w:val="16"/>
          <w:shd w:val="clear" w:color="auto" w:fill="auto"/>
          <w:lang w:val="en-US" w:eastAsia="en-US" w:bidi="en-US"/>
        </w:rPr>
        <w:t>to the laws and statutes of this realm, the petition of right, and the liberty of the subject, by statute 17 Car. I. c. 14.</w:t>
      </w:r>
    </w:p>
    <w:p>
      <w:pPr>
        <w:pStyle w:val="Style2"/>
        <w:keepNext w:val="0"/>
        <w:keepLines w:val="0"/>
        <w:widowControl w:val="0"/>
        <w:shd w:val="clear" w:color="auto" w:fill="auto"/>
        <w:bidi w:val="0"/>
        <w:spacing w:line="228" w:lineRule="auto"/>
        <w:ind w:left="0" w:firstLine="360"/>
        <w:jc w:val="left"/>
        <w:rPr>
          <w:sz w:val="16"/>
          <w:szCs w:val="16"/>
        </w:rPr>
        <w:sectPr>
          <w:footnotePr>
            <w:pos w:val="pageBottom"/>
            <w:numFmt w:val="decimal"/>
            <w:numRestart w:val="continuous"/>
          </w:footnotePr>
          <w:pgSz w:w="12487" w:h="16357"/>
          <w:pgMar w:top="2061" w:left="1609" w:right="2248" w:bottom="1626" w:header="1633" w:footer="1198" w:gutter="0"/>
          <w:pgNumType w:start="72"/>
          <w:cols w:space="720"/>
          <w:noEndnote/>
          <w:rtlGutter w:val="0"/>
          <w:docGrid w:linePitch="360"/>
        </w:sectPr>
      </w:pPr>
      <w:r>
        <w:rPr>
          <w:color w:val="574938"/>
          <w:spacing w:val="0"/>
          <w:w w:val="100"/>
          <w:position w:val="0"/>
          <w:sz w:val="16"/>
          <w:szCs w:val="16"/>
          <w:shd w:val="clear" w:color="auto" w:fill="auto"/>
          <w:lang w:val="en-US" w:eastAsia="en-US" w:bidi="en-US"/>
        </w:rPr>
        <w:t xml:space="preserve">SHIRAZ, or </w:t>
      </w:r>
      <w:r>
        <w:rPr>
          <w:smallCaps/>
          <w:color w:val="000000"/>
          <w:spacing w:val="0"/>
          <w:w w:val="100"/>
          <w:position w:val="0"/>
          <w:sz w:val="16"/>
          <w:szCs w:val="16"/>
          <w:shd w:val="clear" w:color="auto" w:fill="auto"/>
          <w:lang w:val="en-US" w:eastAsia="en-US" w:bidi="en-US"/>
        </w:rPr>
        <w:t>Shira</w:t>
      </w:r>
      <w:r>
        <w:rPr>
          <w:smallCaps/>
          <w:color w:val="574938"/>
          <w:spacing w:val="0"/>
          <w:w w:val="100"/>
          <w:position w:val="0"/>
          <w:sz w:val="16"/>
          <w:szCs w:val="16"/>
          <w:shd w:val="clear" w:color="auto" w:fill="auto"/>
          <w:lang w:val="en-US" w:eastAsia="en-US" w:bidi="en-US"/>
        </w:rPr>
        <w:t>uz,</w:t>
      </w:r>
      <w:r>
        <w:rPr>
          <w:color w:val="574938"/>
          <w:spacing w:val="0"/>
          <w:w w:val="100"/>
          <w:position w:val="0"/>
          <w:sz w:val="16"/>
          <w:szCs w:val="16"/>
          <w:shd w:val="clear" w:color="auto" w:fill="auto"/>
          <w:lang w:val="en-US" w:eastAsia="en-US" w:bidi="en-US"/>
        </w:rPr>
        <w:t xml:space="preserve"> a large city of Persia, the capital of the province of Fars, and, at different periods, of the whole kingdom. According to Fraser, the city of Shiraz is situat</w:t>
        <w:softHyphen/>
        <w:t>ed in the midst of a brown, barren plain, without a village, or any living thing, to relieve it. There were, when he vi</w:t>
        <w:softHyphen/>
        <w:t>sited the place, only one or two gardens on the wide ex</w:t>
        <w:softHyphen/>
        <w:t>panse, which resembled black spots in the desert. He adds, that a nearer view does not present any more favourable impression, the aspect of its mud-walls, surrounded with ruins and broken ground, impressing the most gloomy ideas. Kinneir, on the other hand, gives a different account of its</w:t>
      </w:r>
    </w:p>
    <w:p>
      <w:pPr>
        <w:widowControl w:val="0"/>
      </w:pPr>
    </w:p>
    <w:sectPr>
      <w:footnotePr>
        <w:pos w:val="pageBottom"/>
        <w:numFmt w:val="decimal"/>
        <w:numRestart w:val="continuous"/>
      </w:footnotePr>
      <w:type w:val="continuous"/>
      <w:pgSz w:w="12487" w:h="16357"/>
      <w:pgMar w:top="2004" w:left="1768" w:right="1965" w:bottom="15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26">
    <w:name w:val="Body text_"/>
    <w:basedOn w:val="DefaultParagraphFont"/>
    <w:link w:val="Style25"/>
    <w:rPr>
      <w:rFonts w:ascii="Times New Roman" w:eastAsia="Times New Roman" w:hAnsi="Times New Roman" w:cs="Times New Roman"/>
      <w:b w:val="0"/>
      <w:bCs w:val="0"/>
      <w:i w:val="0"/>
      <w:iCs w:val="0"/>
      <w:smallCaps w:val="0"/>
      <w:strike w:val="0"/>
      <w:color w:val="584937"/>
      <w:sz w:val="17"/>
      <w:szCs w:val="17"/>
      <w:u w:val="none"/>
      <w:lang w:val="1024"/>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6">
    <w:name w:val="Other"/>
    <w:basedOn w:val="Normal"/>
    <w:link w:val="CharStyle7"/>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styleId="Style25">
    <w:name w:val="Body text"/>
    <w:basedOn w:val="Normal"/>
    <w:link w:val="CharStyle26"/>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