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9" w:lineRule="auto"/>
        <w:ind w:left="0" w:right="0" w:firstLine="0"/>
        <w:jc w:val="both"/>
      </w:pPr>
      <w:r>
        <w:rPr>
          <w:spacing w:val="0"/>
          <w:w w:val="100"/>
          <w:position w:val="0"/>
          <w:shd w:val="clear" w:color="auto" w:fill="auto"/>
          <w:lang w:val="en-US" w:eastAsia="en-US" w:bidi="en-US"/>
        </w:rPr>
        <w:t>present capable of exerting a power of 500 horses, should have been capable of exerting a power of 600 horses, and would in this case have consumed lees fuel, as well as have produced greater regularity and a higher velocity.</w:t>
      </w:r>
    </w:p>
    <w:p>
      <w:pPr>
        <w:pStyle w:val="Style2"/>
        <w:keepNext w:val="0"/>
        <w:keepLines w:val="0"/>
        <w:widowControl w:val="0"/>
        <w:shd w:val="clear" w:color="auto" w:fill="auto"/>
        <w:bidi w:val="0"/>
        <w:spacing w:before="0" w:after="0" w:line="209" w:lineRule="auto"/>
        <w:ind w:left="0" w:right="0" w:firstLine="200"/>
        <w:jc w:val="both"/>
      </w:pPr>
      <w:r>
        <w:rPr>
          <w:spacing w:val="0"/>
          <w:w w:val="100"/>
          <w:position w:val="0"/>
          <w:shd w:val="clear" w:color="auto" w:fill="auto"/>
          <w:lang w:val="en-US" w:eastAsia="en-US" w:bidi="en-US"/>
        </w:rPr>
        <w:t>The following results are obtained :—</w:t>
      </w:r>
    </w:p>
    <w:p>
      <w:pPr>
        <w:pStyle w:val="Style2"/>
        <w:keepNext w:val="0"/>
        <w:keepLines w:val="0"/>
        <w:widowControl w:val="0"/>
        <w:shd w:val="clear" w:color="auto" w:fill="auto"/>
        <w:bidi w:val="0"/>
        <w:spacing w:before="0" w:after="0" w:line="209" w:lineRule="auto"/>
        <w:ind w:left="200" w:right="0" w:hanging="200"/>
        <w:jc w:val="both"/>
      </w:pPr>
      <w:r>
        <w:rPr>
          <w:spacing w:val="0"/>
          <w:w w:val="100"/>
          <w:position w:val="0"/>
          <w:shd w:val="clear" w:color="auto" w:fill="auto"/>
          <w:lang w:val="en-US" w:eastAsia="en-US" w:bidi="en-US"/>
        </w:rPr>
        <w:t>The vessel of less power burns thirty tons per day, per</w:t>
        <w:softHyphen/>
        <w:t>forms the distance in fourteen days, consuming 420 tons of coals in fair weather.</w:t>
      </w:r>
    </w:p>
    <w:p>
      <w:pPr>
        <w:pStyle w:val="Style2"/>
        <w:keepNext w:val="0"/>
        <w:keepLines w:val="0"/>
        <w:widowControl w:val="0"/>
        <w:shd w:val="clear" w:color="auto" w:fill="auto"/>
        <w:bidi w:val="0"/>
        <w:spacing w:before="0" w:after="0" w:line="209" w:lineRule="auto"/>
        <w:ind w:left="200" w:right="0" w:hanging="200"/>
        <w:jc w:val="both"/>
      </w:pPr>
      <w:r>
        <w:rPr>
          <w:spacing w:val="0"/>
          <w:w w:val="100"/>
          <w:position w:val="0"/>
          <w:shd w:val="clear" w:color="auto" w:fill="auto"/>
          <w:lang w:val="en-US" w:eastAsia="en-US" w:bidi="en-US"/>
        </w:rPr>
        <w:t>The vessel of less power burns thirty tons per day, per</w:t>
        <w:softHyphen/>
        <w:t>forms the distance in twenty-two days, consuming 660 tons of coals, in foul weather.</w:t>
      </w:r>
    </w:p>
    <w:p>
      <w:pPr>
        <w:pStyle w:val="Style2"/>
        <w:keepNext w:val="0"/>
        <w:keepLines w:val="0"/>
        <w:widowControl w:val="0"/>
        <w:shd w:val="clear" w:color="auto" w:fill="auto"/>
        <w:bidi w:val="0"/>
        <w:spacing w:before="0" w:after="0" w:line="209" w:lineRule="auto"/>
        <w:ind w:left="200" w:right="0" w:hanging="200"/>
        <w:jc w:val="both"/>
      </w:pPr>
      <w:r>
        <w:rPr>
          <w:spacing w:val="0"/>
          <w:w w:val="100"/>
          <w:position w:val="0"/>
          <w:shd w:val="clear" w:color="auto" w:fill="auto"/>
          <w:lang w:val="en-US" w:eastAsia="en-US" w:bidi="en-US"/>
        </w:rPr>
        <w:t>The vessel of greater power burns thirty-six tons per day, perforins the distance in twelve and one-half days, consuming 468 tons of coals, in fair weather.</w:t>
      </w:r>
    </w:p>
    <w:p>
      <w:pPr>
        <w:pStyle w:val="Style2"/>
        <w:keepNext w:val="0"/>
        <w:keepLines w:val="0"/>
        <w:widowControl w:val="0"/>
        <w:shd w:val="clear" w:color="auto" w:fill="auto"/>
        <w:bidi w:val="0"/>
        <w:spacing w:before="0" w:after="0" w:line="209" w:lineRule="auto"/>
        <w:ind w:left="200" w:right="0" w:hanging="200"/>
        <w:jc w:val="both"/>
      </w:pPr>
      <w:r>
        <w:rPr>
          <w:spacing w:val="0"/>
          <w:w w:val="100"/>
          <w:position w:val="0"/>
          <w:shd w:val="clear" w:color="auto" w:fill="auto"/>
          <w:lang w:val="en-US" w:eastAsia="en-US" w:bidi="en-US"/>
        </w:rPr>
        <w:t>The vessel of greater power burns thirty-six tons per day, performs the distance in seventeen days, con</w:t>
        <w:softHyphen/>
        <w:t>suming 630 tons of coals, in foul weather ; being a con</w:t>
        <w:softHyphen/>
        <w:t>sumption of sixty-four tons less fuel, and performing the voyage in four and a half days less than the other.</w:t>
      </w:r>
    </w:p>
    <w:p>
      <w:pPr>
        <w:pStyle w:val="Style2"/>
        <w:keepNext w:val="0"/>
        <w:keepLines w:val="0"/>
        <w:widowControl w:val="0"/>
        <w:shd w:val="clear" w:color="auto" w:fill="auto"/>
        <w:bidi w:val="0"/>
        <w:spacing w:before="0" w:after="0" w:line="209" w:lineRule="auto"/>
        <w:ind w:left="0" w:right="0"/>
        <w:jc w:val="both"/>
      </w:pPr>
      <w:r>
        <w:rPr>
          <w:spacing w:val="0"/>
          <w:w w:val="100"/>
          <w:position w:val="0"/>
          <w:shd w:val="clear" w:color="auto" w:fill="auto"/>
          <w:lang w:val="en-US" w:eastAsia="en-US" w:bidi="en-US"/>
        </w:rPr>
        <w:t>It is manifest that the store of fuel carried in the ves</w:t>
        <w:softHyphen/>
        <w:t>sel with less power, must on all occasions be equal to the greatest consumption of fuel, that is, to at least 660 tons, whereas 630 tons will be sufficient for the vessel of greater power ; and as in all vessels for long voyages, coals carried are much more costly than the mere price of coals, or as the freight of the vessel is more costly than the fuel, coals carried are to be reckoned at least as ex</w:t>
        <w:softHyphen/>
        <w:t xml:space="preserve">pensive as coals burned. Moreover, as the gain in time and in capital is four one-half out of twenty-two, being twenty-five per cent, it is plain that the vessel may be calculated to perform the distance </w:t>
      </w:r>
      <w:r>
        <w:rPr>
          <w:spacing w:val="0"/>
          <w:w w:val="100"/>
          <w:position w:val="0"/>
          <w:shd w:val="clear" w:color="auto" w:fill="auto"/>
          <w:lang w:val="de-DE" w:eastAsia="de-DE" w:bidi="de-DE"/>
        </w:rPr>
        <w:t xml:space="preserve">offener </w:t>
      </w:r>
      <w:r>
        <w:rPr>
          <w:spacing w:val="0"/>
          <w:w w:val="100"/>
          <w:position w:val="0"/>
          <w:shd w:val="clear" w:color="auto" w:fill="auto"/>
          <w:lang w:val="en-US" w:eastAsia="en-US" w:bidi="en-US"/>
        </w:rPr>
        <w:t>in a year; be</w:t>
        <w:softHyphen/>
        <w:t>cause as the times of starting must always be regulated, not by the shorter but by the longest period of a voyage, seventeen one-half days in the one case, stand in the place of twenty-two days in the other.</w:t>
      </w:r>
    </w:p>
    <w:p>
      <w:pPr>
        <w:pStyle w:val="Style2"/>
        <w:keepNext w:val="0"/>
        <w:keepLines w:val="0"/>
        <w:widowControl w:val="0"/>
        <w:shd w:val="clear" w:color="auto" w:fill="auto"/>
        <w:bidi w:val="0"/>
        <w:spacing w:before="0" w:after="40" w:line="209" w:lineRule="auto"/>
        <w:ind w:left="0" w:right="0"/>
        <w:jc w:val="both"/>
      </w:pPr>
      <w:r>
        <w:rPr>
          <w:spacing w:val="0"/>
          <w:w w:val="100"/>
          <w:position w:val="0"/>
          <w:shd w:val="clear" w:color="auto" w:fill="auto"/>
          <w:lang w:val="en-US" w:eastAsia="en-US" w:bidi="en-US"/>
        </w:rPr>
        <w:t>As another example, let us take the case of a vessel calculated to stem the monsoon in the Indian seas. A vessel of 600 tons and 200 horse power, steaming in fair weather at the rate of eleven miles an hour, has been found to have her speed diminished by the monsoon to five miles an hour. What would be the best proportion of power in such circumstances?</w:t>
      </w:r>
    </w:p>
    <w:p>
      <w:pPr>
        <w:pStyle w:val="Style2"/>
        <w:keepNext w:val="0"/>
        <w:keepLines w:val="0"/>
        <w:widowControl w:val="0"/>
        <w:shd w:val="clear" w:color="auto" w:fill="auto"/>
        <w:tabs>
          <w:tab w:pos="2000" w:val="left"/>
        </w:tabs>
        <w:bidi w:val="0"/>
        <w:spacing w:before="0" w:after="0" w:line="209" w:lineRule="auto"/>
        <w:ind w:left="0" w:right="0" w:firstLine="0"/>
        <w:jc w:val="center"/>
      </w:pPr>
      <w:r>
        <w:rPr>
          <w:spacing w:val="0"/>
          <w:w w:val="100"/>
          <w:position w:val="0"/>
          <w:shd w:val="clear" w:color="auto" w:fill="auto"/>
          <w:lang w:val="en-US" w:eastAsia="en-US" w:bidi="en-US"/>
        </w:rPr>
        <w:t>r’—v-s „IP—5’</w:t>
        <w:tab/>
        <w:t>16</w:t>
      </w:r>
    </w:p>
    <w:p>
      <w:pPr>
        <w:pStyle w:val="Style4"/>
        <w:keepNext w:val="0"/>
        <w:keepLines w:val="0"/>
        <w:widowControl w:val="0"/>
        <w:shd w:val="clear" w:color="auto" w:fill="auto"/>
        <w:bidi w:val="0"/>
        <w:spacing w:before="0" w:after="0" w:line="180" w:lineRule="auto"/>
        <w:ind w:left="0" w:right="0" w:firstLine="0"/>
        <w:jc w:val="center"/>
        <w:rPr>
          <w:sz w:val="26"/>
          <w:szCs w:val="26"/>
        </w:rPr>
      </w:pPr>
      <w:r>
        <w:rPr>
          <w:spacing w:val="0"/>
          <w:w w:val="100"/>
          <w:position w:val="0"/>
          <w:sz w:val="28"/>
          <w:szCs w:val="28"/>
          <w:shd w:val="clear" w:color="auto" w:fill="auto"/>
          <w:vertAlign w:val="superscript"/>
          <w:lang w:val="de-DE" w:eastAsia="de-DE" w:bidi="de-DE"/>
        </w:rPr>
        <w:t>Ä</w:t>
      </w:r>
      <w:r>
        <w:rPr>
          <w:spacing w:val="0"/>
          <w:w w:val="100"/>
          <w:position w:val="0"/>
          <w:sz w:val="28"/>
          <w:szCs w:val="28"/>
          <w:shd w:val="clear" w:color="auto" w:fill="auto"/>
          <w:lang w:val="de-DE" w:eastAsia="de-DE" w:bidi="de-DE"/>
        </w:rPr>
        <w:t>=</w:t>
      </w:r>
      <w:r>
        <w:rPr>
          <w:spacing w:val="0"/>
          <w:w w:val="100"/>
          <w:position w:val="0"/>
          <w:sz w:val="28"/>
          <w:szCs w:val="28"/>
          <w:shd w:val="clear" w:color="auto" w:fill="auto"/>
          <w:vertAlign w:val="superscript"/>
          <w:lang w:val="de-DE" w:eastAsia="de-DE" w:bidi="de-DE"/>
        </w:rPr>
        <w:t>2</w:t>
      </w:r>
      <w:r>
        <w:rPr>
          <w:spacing w:val="0"/>
          <w:w w:val="100"/>
          <w:position w:val="0"/>
          <w:sz w:val="28"/>
          <w:szCs w:val="28"/>
          <w:shd w:val="clear" w:color="auto" w:fill="auto"/>
          <w:lang w:val="de-DE" w:eastAsia="de-DE" w:bidi="de-DE"/>
        </w:rPr>
        <w:t xml:space="preserve">h— </w:t>
      </w:r>
      <w:r>
        <w:rPr>
          <w:spacing w:val="0"/>
          <w:w w:val="100"/>
          <w:position w:val="0"/>
          <w:sz w:val="28"/>
          <w:szCs w:val="28"/>
          <w:shd w:val="clear" w:color="auto" w:fill="auto"/>
          <w:lang w:val="en-US" w:eastAsia="en-US" w:bidi="en-US"/>
        </w:rPr>
        <w:t xml:space="preserve">= </w:t>
      </w:r>
      <w:r>
        <w:rPr>
          <w:spacing w:val="0"/>
          <w:w w:val="100"/>
          <w:position w:val="0"/>
          <w:sz w:val="28"/>
          <w:szCs w:val="28"/>
          <w:shd w:val="clear" w:color="auto" w:fill="auto"/>
          <w:vertAlign w:val="superscript"/>
          <w:lang w:val="en-US" w:eastAsia="en-US" w:bidi="en-US"/>
        </w:rPr>
        <w:t>s</w:t>
      </w:r>
      <w:r>
        <w:rPr>
          <w:spacing w:val="0"/>
          <w:w w:val="100"/>
          <w:position w:val="0"/>
          <w:sz w:val="28"/>
          <w:szCs w:val="28"/>
          <w:shd w:val="clear" w:color="auto" w:fill="auto"/>
          <w:lang w:val="en-US" w:eastAsia="en-US" w:bidi="en-US"/>
        </w:rPr>
        <w:t xml:space="preserve">⅛ </w:t>
      </w:r>
      <w:r>
        <w:rPr>
          <w:rFonts w:ascii="Arial" w:eastAsia="Arial" w:hAnsi="Arial" w:cs="Arial"/>
          <w:smallCaps/>
          <w:spacing w:val="0"/>
          <w:w w:val="100"/>
          <w:position w:val="0"/>
          <w:sz w:val="26"/>
          <w:szCs w:val="26"/>
          <w:shd w:val="clear" w:color="auto" w:fill="auto"/>
          <w:lang w:val="fr-FR" w:eastAsia="fr-FR" w:bidi="fr-FR"/>
        </w:rPr>
        <w:t>=tô nearly</w:t>
      </w:r>
      <w:r>
        <w:rPr>
          <w:rFonts w:ascii="Arial" w:eastAsia="Arial" w:hAnsi="Arial" w:cs="Arial"/>
          <w:smallCaps/>
          <w:spacing w:val="0"/>
          <w:w w:val="100"/>
          <w:position w:val="0"/>
          <w:sz w:val="26"/>
          <w:szCs w:val="26"/>
          <w:shd w:val="clear" w:color="auto" w:fill="auto"/>
          <w:lang w:val="en-US" w:eastAsia="en-US" w:bidi="en-US"/>
        </w:rPr>
        <w:t>∙</w:t>
      </w:r>
    </w:p>
    <w:p>
      <w:pPr>
        <w:pStyle w:val="Style2"/>
        <w:keepNext w:val="0"/>
        <w:keepLines w:val="0"/>
        <w:widowControl w:val="0"/>
        <w:shd w:val="clear" w:color="auto" w:fill="auto"/>
        <w:bidi w:val="0"/>
        <w:spacing w:before="0" w:after="0" w:line="209" w:lineRule="auto"/>
        <w:ind w:left="0" w:right="0"/>
        <w:jc w:val="both"/>
      </w:pPr>
      <w:r>
        <w:rPr>
          <w:spacing w:val="0"/>
          <w:w w:val="100"/>
          <w:position w:val="0"/>
          <w:shd w:val="clear" w:color="auto" w:fill="auto"/>
          <w:lang w:val="en-US" w:eastAsia="en-US" w:bidi="en-US"/>
        </w:rPr>
        <w:t>Hence we see that the power being increased in the ratio of sixteen to ten, that is, engines of 320 horse</w:t>
        <w:softHyphen/>
        <w:t>power being substituted for those of 200, the speed on the quick voyage would be twelve three-fourth miles an hour, instead of eleven, the speed against the monsoon increased from five to nine miles an hour, with a saving of coals amounting to forty tons out of 320; and when it is remembered that the voyage for which eighteen days would be required as continual allowance in the one case, might always be calculated on as performed in ten days in the other, the advantage is placed beyond all doubt. It appears, therefore, that for long voyages es</w:t>
        <w:softHyphen/>
        <w:t>pecially, great advantages in point of economy, certainty, and speed, are to be obtained by the use of vessels of a higher power than usual ; and that, in a given case, the best proportion of power to tonnage may readily be de</w:t>
        <w:softHyphen/>
        <w:t>termined from the rules already given.</w:t>
      </w:r>
    </w:p>
    <w:p>
      <w:pPr>
        <w:pStyle w:val="Style2"/>
        <w:keepNext w:val="0"/>
        <w:keepLines w:val="0"/>
        <w:widowControl w:val="0"/>
        <w:shd w:val="clear" w:color="auto" w:fill="auto"/>
        <w:bidi w:val="0"/>
        <w:spacing w:before="0" w:after="0" w:line="209" w:lineRule="auto"/>
        <w:ind w:left="0" w:right="0"/>
        <w:jc w:val="both"/>
      </w:pPr>
      <w:r>
        <w:rPr>
          <w:spacing w:val="0"/>
          <w:w w:val="100"/>
          <w:position w:val="0"/>
          <w:shd w:val="clear" w:color="auto" w:fill="auto"/>
          <w:lang w:val="en-US" w:eastAsia="en-US" w:bidi="en-US"/>
        </w:rPr>
        <w:t>In regard to absolute or definite proportion, it may be stated as the result of the best vessels, that the propor</w:t>
        <w:softHyphen/>
        <w:t>tion of power to tonnage should not be greater than one horse power to two tons; the greater proportion holding in the smaller, and the less proportion of power in the greater vessel.</w:t>
      </w:r>
    </w:p>
    <w:p>
      <w:pPr>
        <w:pStyle w:val="Style2"/>
        <w:keepNext w:val="0"/>
        <w:keepLines w:val="0"/>
        <w:widowControl w:val="0"/>
        <w:shd w:val="clear" w:color="auto" w:fill="auto"/>
        <w:bidi w:val="0"/>
        <w:spacing w:before="0" w:after="0" w:line="209" w:lineRule="auto"/>
        <w:ind w:left="0" w:right="0"/>
        <w:jc w:val="both"/>
      </w:pPr>
      <w:r>
        <w:rPr>
          <w:i/>
          <w:iCs/>
          <w:spacing w:val="0"/>
          <w:w w:val="100"/>
          <w:position w:val="0"/>
          <w:shd w:val="clear" w:color="auto" w:fill="auto"/>
          <w:lang w:val="en-US" w:eastAsia="en-US" w:bidi="en-US"/>
        </w:rPr>
        <w:t>The Proportions, Form, and Mechanical Structure of Steam-Ships—</w:t>
      </w:r>
      <w:r>
        <w:rPr>
          <w:spacing w:val="0"/>
          <w:w w:val="100"/>
          <w:position w:val="0"/>
          <w:shd w:val="clear" w:color="auto" w:fill="auto"/>
          <w:lang w:val="en-US" w:eastAsia="en-US" w:bidi="en-US"/>
        </w:rPr>
        <w:t xml:space="preserve">In the article </w:t>
      </w:r>
      <w:r>
        <w:rPr>
          <w:smallCaps/>
          <w:spacing w:val="0"/>
          <w:w w:val="100"/>
          <w:position w:val="0"/>
          <w:shd w:val="clear" w:color="auto" w:fill="auto"/>
          <w:lang w:val="en-US" w:eastAsia="en-US" w:bidi="en-US"/>
        </w:rPr>
        <w:t>Shipbuilding,</w:t>
      </w:r>
      <w:r>
        <w:rPr>
          <w:spacing w:val="0"/>
          <w:w w:val="100"/>
          <w:position w:val="0"/>
          <w:shd w:val="clear" w:color="auto" w:fill="auto"/>
          <w:lang w:val="en-US" w:eastAsia="en-US" w:bidi="en-US"/>
        </w:rPr>
        <w:t xml:space="preserve"> the reader </w:t>
      </w:r>
      <w:r>
        <w:rPr>
          <w:spacing w:val="0"/>
          <w:w w:val="100"/>
          <w:position w:val="0"/>
          <w:shd w:val="clear" w:color="auto" w:fill="auto"/>
          <w:lang w:val="en-US" w:eastAsia="en-US" w:bidi="en-US"/>
        </w:rPr>
        <w:t>will find the elements of construction of ships developed and applied in a satisfactory and lucid manner. There he will also learn, that naval architecture is scarcely recognised as a science in England. The reader will therefore bo prepared for the announcement that the proportions and structure of steam-vessels is an enquiry which has hardly as yet systematically commenced ; and it is with much hesitation that we set the example of en</w:t>
        <w:softHyphen/>
        <w:t>deavouring to eliminate from the rude mass of practical truth and practical error, some general results worthy of confidence. We may premise, that the drawing and finding the displacement, centres of gravity, and buoy</w:t>
        <w:softHyphen/>
        <w:t>ancy, and the calculations of stability, &amp;c., may be per</w:t>
        <w:softHyphen/>
        <w:t>formed for steam-ships by the methods, and on the prin</w:t>
        <w:softHyphen/>
        <w:t>ciples developed in the article to which the reader has already been referred.</w:t>
      </w:r>
    </w:p>
    <w:p>
      <w:pPr>
        <w:pStyle w:val="Style2"/>
        <w:keepNext w:val="0"/>
        <w:keepLines w:val="0"/>
        <w:widowControl w:val="0"/>
        <w:shd w:val="clear" w:color="auto" w:fill="auto"/>
        <w:bidi w:val="0"/>
        <w:spacing w:before="0" w:after="140" w:line="209" w:lineRule="auto"/>
        <w:ind w:left="0" w:right="0"/>
        <w:jc w:val="both"/>
      </w:pPr>
      <w:r>
        <w:rPr>
          <w:spacing w:val="0"/>
          <w:w w:val="100"/>
          <w:position w:val="0"/>
          <w:shd w:val="clear" w:color="auto" w:fill="auto"/>
          <w:lang w:val="en-US" w:eastAsia="en-US" w:bidi="en-US"/>
        </w:rPr>
        <w:t>The proportions of steam-vessels were originally taken from sailing vessels ; the length being three or four times the breadth. Six breadths to the length is now a common proportion. The proportion of depth varies with dimen</w:t>
        <w:softHyphen/>
        <w:t>sion, being about one-half the breadth in vessels of 100 tons, two-thirds of the breadth in vessels of about 600 tons, and three-fourths of the breadth in vessels of 1500 tons. The qualities of a vessel depending much on its form, it is not possible to deduce a very precise rule for proportion abstracted from shape ; but the following list of dimensions is deduced from a comparison of the di</w:t>
        <w:softHyphen/>
        <w:t>mensions of the best vessels, and will serve as a standard of reference for the existing state of practice. The fol</w:t>
        <w:softHyphen/>
        <w:t>lowing are dimensions of flush-decked vessels without poops or forecastle. Where these exist, the depth must bo diminished so as to leave the mean depth the same. Thus, in the table, a vessel of 180 feet long by thirty feet beam, has twenty feet depth ; but with a half-poop she would require to be only about eighteen one-half feet deep.</w:t>
      </w:r>
    </w:p>
    <w:p>
      <w:pPr>
        <w:pStyle w:val="Style2"/>
        <w:keepNext w:val="0"/>
        <w:keepLines w:val="0"/>
        <w:widowControl w:val="0"/>
        <w:shd w:val="clear" w:color="auto" w:fill="auto"/>
        <w:bidi w:val="0"/>
        <w:spacing w:before="0" w:after="40" w:line="214" w:lineRule="auto"/>
        <w:ind w:left="220" w:right="0" w:hanging="220"/>
        <w:jc w:val="both"/>
      </w:pPr>
      <w:r>
        <w:rPr>
          <w:i/>
          <w:iCs/>
          <w:spacing w:val="0"/>
          <w:w w:val="100"/>
          <w:position w:val="0"/>
          <w:shd w:val="clear" w:color="auto" w:fill="auto"/>
          <w:lang w:val="en-US" w:eastAsia="en-US" w:bidi="en-US"/>
        </w:rPr>
        <w:t>Table of Dimensions of Sea-going Steam- Vessels of the best proportions, in conformity with the best practice in. Britain.</w:t>
      </w:r>
    </w:p>
    <w:tbl>
      <w:tblPr>
        <w:tblOverlap w:val="never"/>
        <w:jc w:val="center"/>
        <w:tblLayout w:type="fixed"/>
      </w:tblPr>
      <w:tblGrid>
        <w:gridCol w:w="727"/>
        <w:gridCol w:w="754"/>
        <w:gridCol w:w="745"/>
        <w:gridCol w:w="754"/>
      </w:tblGrid>
      <w:tr>
        <w:trPr>
          <w:trHeight w:val="438" w:hRule="exact"/>
        </w:trPr>
        <w:tc>
          <w:tcPr>
            <w:tcBorders>
              <w:top w:val="single" w:sz="4"/>
              <w:left w:val="single" w:sz="4"/>
            </w:tcBorders>
            <w:shd w:val="clear" w:color="auto" w:fill="EED3AE"/>
            <w:vAlign w:val="top"/>
          </w:tcPr>
          <w:p>
            <w:pPr>
              <w:pStyle w:val="Style4"/>
              <w:keepNext w:val="0"/>
              <w:keepLines w:val="0"/>
              <w:widowControl w:val="0"/>
              <w:shd w:val="clear" w:color="auto" w:fill="auto"/>
              <w:bidi w:val="0"/>
              <w:spacing w:before="0" w:after="0" w:line="211" w:lineRule="auto"/>
              <w:ind w:left="0" w:right="0" w:firstLine="0"/>
              <w:jc w:val="left"/>
              <w:rPr>
                <w:sz w:val="11"/>
                <w:szCs w:val="11"/>
              </w:rPr>
            </w:pPr>
            <w:r>
              <w:rPr>
                <w:spacing w:val="0"/>
                <w:w w:val="100"/>
                <w:position w:val="0"/>
                <w:sz w:val="11"/>
                <w:szCs w:val="11"/>
                <w:shd w:val="clear" w:color="auto" w:fill="auto"/>
                <w:lang w:val="en-US" w:eastAsia="en-US" w:bidi="en-US"/>
              </w:rPr>
              <w:t>Length between the per</w:t>
              <w:softHyphen/>
              <w:t>pendiculars.</w:t>
            </w:r>
          </w:p>
        </w:tc>
        <w:tc>
          <w:tcPr>
            <w:tcBorders>
              <w:top w:val="single" w:sz="4"/>
            </w:tcBorders>
            <w:shd w:val="clear" w:color="auto" w:fill="EED3AE"/>
            <w:vAlign w:val="top"/>
          </w:tcPr>
          <w:p>
            <w:pPr>
              <w:pStyle w:val="Style4"/>
              <w:keepNext w:val="0"/>
              <w:keepLines w:val="0"/>
              <w:widowControl w:val="0"/>
              <w:shd w:val="clear" w:color="auto" w:fill="auto"/>
              <w:bidi w:val="0"/>
              <w:spacing w:before="0" w:after="0" w:line="206" w:lineRule="auto"/>
              <w:ind w:left="0" w:right="0" w:firstLine="0"/>
              <w:jc w:val="center"/>
              <w:rPr>
                <w:sz w:val="11"/>
                <w:szCs w:val="11"/>
              </w:rPr>
            </w:pPr>
            <w:r>
              <w:rPr>
                <w:spacing w:val="0"/>
                <w:w w:val="100"/>
                <w:position w:val="0"/>
                <w:sz w:val="11"/>
                <w:szCs w:val="11"/>
                <w:shd w:val="clear" w:color="auto" w:fill="auto"/>
                <w:lang w:val="en-US" w:eastAsia="en-US" w:bidi="en-US"/>
              </w:rPr>
              <w:t>Breadth between the paddles.</w:t>
            </w:r>
          </w:p>
        </w:tc>
        <w:tc>
          <w:tcPr>
            <w:tcBorders>
              <w:top w:val="single" w:sz="4"/>
              <w:left w:val="single" w:sz="4"/>
            </w:tcBorders>
            <w:shd w:val="clear" w:color="auto" w:fill="EED3AE"/>
            <w:vAlign w:val="top"/>
          </w:tcPr>
          <w:p>
            <w:pPr>
              <w:pStyle w:val="Style4"/>
              <w:keepNext w:val="0"/>
              <w:keepLines w:val="0"/>
              <w:widowControl w:val="0"/>
              <w:shd w:val="clear" w:color="auto" w:fill="auto"/>
              <w:bidi w:val="0"/>
              <w:spacing w:before="0" w:after="0" w:line="211" w:lineRule="auto"/>
              <w:ind w:left="0" w:right="0" w:firstLine="0"/>
              <w:jc w:val="center"/>
              <w:rPr>
                <w:sz w:val="11"/>
                <w:szCs w:val="11"/>
              </w:rPr>
            </w:pPr>
            <w:r>
              <w:rPr>
                <w:spacing w:val="0"/>
                <w:w w:val="100"/>
                <w:position w:val="0"/>
                <w:sz w:val="11"/>
                <w:szCs w:val="11"/>
                <w:shd w:val="clear" w:color="auto" w:fill="auto"/>
                <w:lang w:val="en-US" w:eastAsia="en-US" w:bidi="en-US"/>
              </w:rPr>
              <w:t>Depth, hold, and midships.</w:t>
            </w:r>
          </w:p>
        </w:tc>
        <w:tc>
          <w:tcPr>
            <w:tcBorders>
              <w:top w:val="single" w:sz="4"/>
              <w:left w:val="single" w:sz="4"/>
              <w:right w:val="single" w:sz="4"/>
            </w:tcBorders>
            <w:shd w:val="clear" w:color="auto" w:fill="EED3AE"/>
            <w:vAlign w:val="top"/>
          </w:tcPr>
          <w:p>
            <w:pPr>
              <w:pStyle w:val="Style4"/>
              <w:keepNext w:val="0"/>
              <w:keepLines w:val="0"/>
              <w:widowControl w:val="0"/>
              <w:shd w:val="clear" w:color="auto" w:fill="auto"/>
              <w:bidi w:val="0"/>
              <w:spacing w:before="0" w:after="0" w:line="197" w:lineRule="auto"/>
              <w:ind w:left="0" w:right="0" w:firstLine="0"/>
              <w:jc w:val="left"/>
              <w:rPr>
                <w:sz w:val="11"/>
                <w:szCs w:val="11"/>
              </w:rPr>
            </w:pPr>
            <w:r>
              <w:rPr>
                <w:spacing w:val="0"/>
                <w:w w:val="100"/>
                <w:position w:val="0"/>
                <w:sz w:val="11"/>
                <w:szCs w:val="11"/>
                <w:shd w:val="clear" w:color="auto" w:fill="auto"/>
                <w:lang w:val="en-US" w:eastAsia="en-US" w:bidi="en-US"/>
              </w:rPr>
              <w:t>Tonnage. Old law.</w:t>
            </w:r>
          </w:p>
        </w:tc>
      </w:tr>
      <w:tr>
        <w:trPr>
          <w:trHeight w:val="248" w:hRule="exact"/>
        </w:trPr>
        <w:tc>
          <w:tcPr>
            <w:tcBorders>
              <w:top w:val="single" w:sz="4"/>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90 feet,</w:t>
            </w:r>
          </w:p>
        </w:tc>
        <w:tc>
          <w:tcPr>
            <w:tcBorders>
              <w:top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16 feet,</w:t>
            </w:r>
          </w:p>
        </w:tc>
        <w:tc>
          <w:tcPr>
            <w:tcBorders>
              <w:top w:val="single" w:sz="4"/>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7 feet,</w:t>
            </w:r>
          </w:p>
        </w:tc>
        <w:tc>
          <w:tcPr>
            <w:tcBorders>
              <w:top w:val="single" w:sz="4"/>
              <w:left w:val="single" w:sz="4"/>
              <w:righ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110 tons.</w:t>
            </w:r>
          </w:p>
        </w:tc>
      </w:tr>
      <w:tr>
        <w:trPr>
          <w:trHeight w:val="194" w:hRule="exact"/>
        </w:trPr>
        <w:tc>
          <w:tcPr>
            <w:tcBorders>
              <w:left w:val="single" w:sz="4"/>
            </w:tcBorders>
            <w:shd w:val="clear" w:color="auto" w:fill="EED3AE"/>
            <w:vAlign w:val="top"/>
          </w:tcPr>
          <w:p>
            <w:pPr>
              <w:pStyle w:val="Style4"/>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96</w:t>
            </w:r>
          </w:p>
        </w:tc>
        <w:tc>
          <w:tcPr>
            <w:tcBorders>
              <w:left w:val="single" w:sz="4"/>
            </w:tcBorders>
            <w:shd w:val="clear" w:color="auto" w:fill="EED3AE"/>
            <w:vAlign w:val="top"/>
          </w:tcPr>
          <w:p>
            <w:pPr>
              <w:pStyle w:val="Style4"/>
              <w:keepNext w:val="0"/>
              <w:keepLines w:val="0"/>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16</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p>
        </w:tc>
        <w:tc>
          <w:tcPr>
            <w:tcBorders>
              <w:left w:val="single" w:sz="4"/>
            </w:tcBorders>
            <w:shd w:val="clear" w:color="auto" w:fill="EED3AE"/>
            <w:vAlign w:val="top"/>
          </w:tcPr>
          <w:p>
            <w:pPr>
              <w:pStyle w:val="Style4"/>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7</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p>
        </w:tc>
        <w:tc>
          <w:tcPr>
            <w:tcBorders>
              <w:left w:val="single" w:sz="4"/>
              <w:righ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118</w:t>
            </w:r>
          </w:p>
        </w:tc>
      </w:tr>
      <w:tr>
        <w:trPr>
          <w:trHeight w:val="158" w:hRule="exact"/>
        </w:trPr>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102</w:t>
            </w:r>
          </w:p>
        </w:tc>
        <w:tc>
          <w:tcPr>
            <w:tcBorders>
              <w:left w:val="single" w:sz="4"/>
            </w:tcBorders>
            <w:shd w:val="clear" w:color="auto" w:fill="C8C1A1"/>
            <w:vAlign w:val="top"/>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17</w:t>
            </w:r>
          </w:p>
        </w:tc>
        <w:tc>
          <w:tcPr>
            <w:tcBorders>
              <w:left w:val="single" w:sz="4"/>
            </w:tcBorders>
            <w:shd w:val="clear" w:color="auto" w:fill="C8C1A1"/>
            <w:vAlign w:val="bottom"/>
          </w:tcPr>
          <w:p>
            <w:pPr>
              <w:pStyle w:val="Style4"/>
              <w:keepNext w:val="0"/>
              <w:keepLines w:val="0"/>
              <w:widowControl w:val="0"/>
              <w:shd w:val="clear" w:color="auto" w:fill="auto"/>
              <w:bidi w:val="0"/>
              <w:spacing w:before="0" w:after="0" w:line="240" w:lineRule="auto"/>
              <w:ind w:left="0" w:right="0" w:firstLine="240"/>
              <w:jc w:val="both"/>
            </w:pPr>
            <w:r>
              <w:rPr>
                <w:spacing w:val="0"/>
                <w:w w:val="100"/>
                <w:position w:val="0"/>
                <w:shd w:val="clear" w:color="auto" w:fill="auto"/>
                <w:lang w:val="en-US" w:eastAsia="en-US" w:bidi="en-US"/>
              </w:rPr>
              <w:t>8</w:t>
            </w:r>
          </w:p>
        </w:tc>
        <w:tc>
          <w:tcPr>
            <w:tcBorders>
              <w:left w:val="single" w:sz="4"/>
              <w:right w:val="single" w:sz="4"/>
            </w:tcBorders>
            <w:shd w:val="clear" w:color="auto" w:fill="C8C1A1"/>
            <w:vAlign w:val="top"/>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140</w:t>
            </w:r>
          </w:p>
        </w:tc>
      </w:tr>
      <w:tr>
        <w:trPr>
          <w:trHeight w:val="181" w:hRule="exact"/>
        </w:trPr>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108</w:t>
            </w:r>
          </w:p>
        </w:tc>
        <w:tc>
          <w:tcPr>
            <w:tcBorders>
              <w:left w:val="single" w:sz="4"/>
            </w:tcBorders>
            <w:shd w:val="clear" w:color="auto" w:fill="C8C1A1"/>
            <w:vAlign w:val="bottom"/>
          </w:tcPr>
          <w:p>
            <w:pPr>
              <w:pStyle w:val="Style4"/>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18</w:t>
            </w:r>
          </w:p>
        </w:tc>
        <w:tc>
          <w:tcPr>
            <w:tcBorders>
              <w:left w:val="single" w:sz="4"/>
            </w:tcBorders>
            <w:shd w:val="clear" w:color="auto" w:fill="C8C1A1"/>
            <w:vAlign w:val="center"/>
          </w:tcPr>
          <w:p>
            <w:pPr>
              <w:pStyle w:val="Style4"/>
              <w:keepNext w:val="0"/>
              <w:keepLines w:val="0"/>
              <w:widowControl w:val="0"/>
              <w:shd w:val="clear" w:color="auto" w:fill="auto"/>
              <w:bidi w:val="0"/>
              <w:spacing w:before="0" w:after="0" w:line="240" w:lineRule="auto"/>
              <w:ind w:left="0" w:right="0" w:firstLine="240"/>
              <w:jc w:val="both"/>
            </w:pPr>
            <w:r>
              <w:rPr>
                <w:spacing w:val="0"/>
                <w:w w:val="100"/>
                <w:position w:val="0"/>
                <w:shd w:val="clear" w:color="auto" w:fill="auto"/>
                <w:lang w:val="en-US" w:eastAsia="en-US" w:bidi="en-US"/>
              </w:rPr>
              <w:t>9</w:t>
            </w:r>
          </w:p>
        </w:tc>
        <w:tc>
          <w:tcPr>
            <w:tcBorders>
              <w:left w:val="single" w:sz="4"/>
              <w:right w:val="single" w:sz="4"/>
            </w:tcBorders>
            <w:shd w:val="clear" w:color="auto" w:fill="C8C1A1"/>
            <w:vAlign w:val="bottom"/>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168</w:t>
            </w:r>
          </w:p>
        </w:tc>
      </w:tr>
      <w:tr>
        <w:trPr>
          <w:trHeight w:val="181" w:hRule="exact"/>
        </w:trPr>
        <w:tc>
          <w:tcPr>
            <w:tcBorders>
              <w:left w:val="single" w:sz="4"/>
            </w:tcBorders>
            <w:shd w:val="clear" w:color="auto" w:fill="C8C1A1"/>
            <w:vAlign w:val="top"/>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114</w:t>
            </w:r>
          </w:p>
        </w:tc>
        <w:tc>
          <w:tcPr>
            <w:tcBorders>
              <w:left w:val="single" w:sz="4"/>
            </w:tcBorders>
            <w:shd w:val="clear" w:color="auto" w:fill="EED3AE"/>
            <w:vAlign w:val="top"/>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19</w:t>
            </w:r>
          </w:p>
        </w:tc>
        <w:tc>
          <w:tcPr>
            <w:tcBorders>
              <w:left w:val="single" w:sz="4"/>
            </w:tcBorders>
            <w:shd w:val="clear" w:color="auto" w:fill="C8C1A1"/>
            <w:vAlign w:val="bottom"/>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10</w:t>
            </w:r>
          </w:p>
        </w:tc>
        <w:tc>
          <w:tcPr>
            <w:tcBorders>
              <w:left w:val="single" w:sz="4"/>
              <w:right w:val="single" w:sz="4"/>
            </w:tcBorders>
            <w:shd w:val="clear" w:color="auto" w:fill="C8C1A1"/>
            <w:vAlign w:val="top"/>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197</w:t>
            </w:r>
          </w:p>
        </w:tc>
      </w:tr>
      <w:tr>
        <w:trPr>
          <w:trHeight w:val="181" w:hRule="exact"/>
        </w:trPr>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120</w:t>
            </w:r>
          </w:p>
        </w:tc>
        <w:tc>
          <w:tcPr>
            <w:tcBorders>
              <w:left w:val="single" w:sz="4"/>
            </w:tcBorders>
            <w:shd w:val="clear" w:color="auto" w:fill="C8C1A1"/>
            <w:vAlign w:val="bottom"/>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20</w:t>
            </w:r>
          </w:p>
        </w:tc>
        <w:tc>
          <w:tcPr>
            <w:tcBorders>
              <w:left w:val="single" w:sz="4"/>
            </w:tcBorders>
            <w:shd w:val="clear" w:color="auto" w:fill="C8C1A1"/>
            <w:vAlign w:val="bottom"/>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11</w:t>
            </w:r>
          </w:p>
        </w:tc>
        <w:tc>
          <w:tcPr>
            <w:tcBorders>
              <w:left w:val="single" w:sz="4"/>
              <w:right w:val="single" w:sz="4"/>
            </w:tcBorders>
            <w:shd w:val="clear" w:color="auto" w:fill="C8C1A1"/>
            <w:vAlign w:val="center"/>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230</w:t>
            </w:r>
          </w:p>
        </w:tc>
      </w:tr>
      <w:tr>
        <w:trPr>
          <w:trHeight w:val="181" w:hRule="exact"/>
        </w:trPr>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126</w:t>
            </w:r>
          </w:p>
        </w:tc>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21</w:t>
            </w:r>
          </w:p>
        </w:tc>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12</w:t>
            </w:r>
          </w:p>
        </w:tc>
        <w:tc>
          <w:tcPr>
            <w:tcBorders>
              <w:left w:val="single" w:sz="4"/>
              <w:righ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266</w:t>
            </w:r>
          </w:p>
        </w:tc>
      </w:tr>
      <w:tr>
        <w:trPr>
          <w:trHeight w:val="181" w:hRule="exact"/>
        </w:trPr>
        <w:tc>
          <w:tcPr>
            <w:tcBorders>
              <w:left w:val="single" w:sz="4"/>
            </w:tcBorders>
            <w:shd w:val="clear" w:color="auto" w:fill="EED3AE"/>
            <w:vAlign w:val="top"/>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132</w:t>
            </w:r>
          </w:p>
        </w:tc>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22</w:t>
            </w:r>
          </w:p>
        </w:tc>
        <w:tc>
          <w:tcPr>
            <w:tcBorders>
              <w:left w:val="single" w:sz="4"/>
            </w:tcBorders>
            <w:shd w:val="clear" w:color="auto" w:fill="EED3AE"/>
            <w:vAlign w:val="top"/>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13</w:t>
            </w:r>
          </w:p>
        </w:tc>
        <w:tc>
          <w:tcPr>
            <w:tcBorders>
              <w:left w:val="single" w:sz="4"/>
              <w:right w:val="single" w:sz="4"/>
            </w:tcBorders>
            <w:shd w:val="clear" w:color="auto" w:fill="EED3AE"/>
            <w:vAlign w:val="top"/>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306</w:t>
            </w:r>
          </w:p>
        </w:tc>
      </w:tr>
      <w:tr>
        <w:trPr>
          <w:trHeight w:val="181" w:hRule="exact"/>
        </w:trPr>
        <w:tc>
          <w:tcPr>
            <w:tcBorders>
              <w:left w:val="single" w:sz="4"/>
            </w:tcBorders>
            <w:shd w:val="clear" w:color="auto" w:fill="EED3AE"/>
            <w:vAlign w:val="top"/>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138</w:t>
            </w:r>
          </w:p>
        </w:tc>
        <w:tc>
          <w:tcPr>
            <w:tcBorders>
              <w:left w:val="single" w:sz="4"/>
            </w:tcBorders>
            <w:shd w:val="clear" w:color="auto" w:fill="EED3AE"/>
            <w:vAlign w:val="top"/>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23</w:t>
            </w:r>
          </w:p>
        </w:tc>
        <w:tc>
          <w:tcPr>
            <w:tcBorders>
              <w:left w:val="single" w:sz="4"/>
            </w:tcBorders>
            <w:shd w:val="clear" w:color="auto" w:fill="EED3AE"/>
            <w:vAlign w:val="top"/>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14</w:t>
            </w:r>
          </w:p>
        </w:tc>
        <w:tc>
          <w:tcPr>
            <w:tcBorders>
              <w:left w:val="single" w:sz="4"/>
              <w:right w:val="single" w:sz="4"/>
            </w:tcBorders>
            <w:shd w:val="clear" w:color="auto" w:fill="EED3AE"/>
            <w:vAlign w:val="top"/>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350</w:t>
            </w:r>
          </w:p>
        </w:tc>
      </w:tr>
      <w:tr>
        <w:trPr>
          <w:trHeight w:val="176" w:hRule="exact"/>
        </w:trPr>
        <w:tc>
          <w:tcPr>
            <w:tcBorders>
              <w:left w:val="single" w:sz="4"/>
            </w:tcBorders>
            <w:shd w:val="clear" w:color="auto" w:fill="EED3AE"/>
            <w:vAlign w:val="top"/>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144</w:t>
            </w:r>
          </w:p>
        </w:tc>
        <w:tc>
          <w:tcPr>
            <w:tcBorders>
              <w:left w:val="single" w:sz="4"/>
            </w:tcBorders>
            <w:shd w:val="clear" w:color="auto" w:fill="EED3AE"/>
            <w:vAlign w:val="top"/>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24</w:t>
            </w:r>
          </w:p>
        </w:tc>
        <w:tc>
          <w:tcPr>
            <w:tcBorders>
              <w:left w:val="single" w:sz="4"/>
            </w:tcBorders>
            <w:shd w:val="clear" w:color="auto" w:fill="EED3AE"/>
            <w:vAlign w:val="top"/>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15</w:t>
            </w:r>
          </w:p>
        </w:tc>
        <w:tc>
          <w:tcPr>
            <w:tcBorders>
              <w:left w:val="single" w:sz="4"/>
              <w:right w:val="single" w:sz="4"/>
            </w:tcBorders>
            <w:shd w:val="clear" w:color="auto" w:fill="EED3AE"/>
            <w:vAlign w:val="top"/>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397</w:t>
            </w:r>
          </w:p>
        </w:tc>
      </w:tr>
      <w:tr>
        <w:trPr>
          <w:trHeight w:val="185" w:hRule="exact"/>
        </w:trPr>
        <w:tc>
          <w:tcPr>
            <w:tcBorders>
              <w:left w:val="single" w:sz="4"/>
            </w:tcBorders>
            <w:shd w:val="clear" w:color="auto" w:fill="EED3AE"/>
            <w:vAlign w:val="top"/>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150</w:t>
            </w:r>
          </w:p>
        </w:tc>
        <w:tc>
          <w:tcPr>
            <w:tcBorders>
              <w:left w:val="single" w:sz="4"/>
            </w:tcBorders>
            <w:shd w:val="clear" w:color="auto" w:fill="EED3AE"/>
            <w:vAlign w:val="top"/>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25</w:t>
            </w:r>
          </w:p>
        </w:tc>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16</w:t>
            </w:r>
          </w:p>
        </w:tc>
        <w:tc>
          <w:tcPr>
            <w:tcBorders>
              <w:left w:val="single" w:sz="4"/>
              <w:right w:val="single" w:sz="4"/>
            </w:tcBorders>
            <w:shd w:val="clear" w:color="auto" w:fill="EED3AE"/>
            <w:vAlign w:val="top"/>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450</w:t>
            </w:r>
          </w:p>
        </w:tc>
      </w:tr>
      <w:tr>
        <w:trPr>
          <w:trHeight w:val="176" w:hRule="exact"/>
        </w:trPr>
        <w:tc>
          <w:tcPr>
            <w:tcBorders>
              <w:left w:val="single" w:sz="4"/>
            </w:tcBorders>
            <w:shd w:val="clear" w:color="auto" w:fill="EED3AE"/>
            <w:vAlign w:val="top"/>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156</w:t>
            </w:r>
          </w:p>
        </w:tc>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26</w:t>
            </w:r>
          </w:p>
        </w:tc>
        <w:tc>
          <w:tcPr>
            <w:tcBorders>
              <w:left w:val="single" w:sz="4"/>
            </w:tcBorders>
            <w:shd w:val="clear" w:color="auto" w:fill="EED3AE"/>
            <w:vAlign w:val="top"/>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17</w:t>
            </w:r>
          </w:p>
        </w:tc>
        <w:tc>
          <w:tcPr>
            <w:tcBorders>
              <w:left w:val="single" w:sz="4"/>
              <w:right w:val="single" w:sz="4"/>
            </w:tcBorders>
            <w:shd w:val="clear" w:color="auto" w:fill="EED3AE"/>
            <w:vAlign w:val="top"/>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505</w:t>
            </w:r>
          </w:p>
        </w:tc>
      </w:tr>
      <w:tr>
        <w:trPr>
          <w:trHeight w:val="181" w:hRule="exact"/>
        </w:trPr>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162</w:t>
            </w:r>
          </w:p>
        </w:tc>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27</w:t>
            </w:r>
          </w:p>
        </w:tc>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18</w:t>
            </w:r>
          </w:p>
        </w:tc>
        <w:tc>
          <w:tcPr>
            <w:tcBorders>
              <w:left w:val="single" w:sz="4"/>
              <w:righ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565</w:t>
            </w:r>
          </w:p>
        </w:tc>
      </w:tr>
      <w:tr>
        <w:trPr>
          <w:trHeight w:val="181" w:hRule="exact"/>
        </w:trPr>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168</w:t>
            </w:r>
          </w:p>
        </w:tc>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28</w:t>
            </w:r>
          </w:p>
        </w:tc>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19</w:t>
            </w:r>
          </w:p>
        </w:tc>
        <w:tc>
          <w:tcPr>
            <w:tcBorders>
              <w:left w:val="single" w:sz="4"/>
              <w:righ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630</w:t>
            </w:r>
          </w:p>
        </w:tc>
      </w:tr>
      <w:tr>
        <w:trPr>
          <w:trHeight w:val="181" w:hRule="exact"/>
        </w:trPr>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174</w:t>
            </w:r>
          </w:p>
        </w:tc>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29</w:t>
            </w:r>
          </w:p>
        </w:tc>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20</w:t>
            </w:r>
          </w:p>
        </w:tc>
        <w:tc>
          <w:tcPr>
            <w:tcBorders>
              <w:left w:val="single" w:sz="4"/>
              <w:righ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700</w:t>
            </w:r>
          </w:p>
        </w:tc>
      </w:tr>
      <w:tr>
        <w:trPr>
          <w:trHeight w:val="181" w:hRule="exact"/>
        </w:trPr>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180</w:t>
            </w:r>
          </w:p>
        </w:tc>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30</w:t>
            </w:r>
          </w:p>
        </w:tc>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21</w:t>
            </w:r>
          </w:p>
        </w:tc>
        <w:tc>
          <w:tcPr>
            <w:tcBorders>
              <w:left w:val="single" w:sz="4"/>
              <w:righ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776</w:t>
            </w:r>
          </w:p>
        </w:tc>
      </w:tr>
      <w:tr>
        <w:trPr>
          <w:trHeight w:val="149" w:hRule="exact"/>
        </w:trPr>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186</w:t>
            </w:r>
          </w:p>
        </w:tc>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31</w:t>
            </w:r>
          </w:p>
        </w:tc>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22</w:t>
            </w:r>
          </w:p>
        </w:tc>
        <w:tc>
          <w:tcPr>
            <w:tcBorders>
              <w:left w:val="single" w:sz="4"/>
              <w:righ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856</w:t>
            </w:r>
          </w:p>
        </w:tc>
      </w:tr>
      <w:tr>
        <w:trPr>
          <w:trHeight w:val="181" w:hRule="exact"/>
        </w:trPr>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192</w:t>
            </w:r>
          </w:p>
        </w:tc>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32</w:t>
            </w:r>
          </w:p>
        </w:tc>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23</w:t>
            </w:r>
          </w:p>
        </w:tc>
        <w:tc>
          <w:tcPr>
            <w:tcBorders>
              <w:left w:val="single" w:sz="4"/>
              <w:righ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941</w:t>
            </w:r>
          </w:p>
        </w:tc>
      </w:tr>
      <w:tr>
        <w:trPr>
          <w:trHeight w:val="212" w:hRule="exact"/>
        </w:trPr>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200</w:t>
            </w:r>
          </w:p>
        </w:tc>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33</w:t>
            </w:r>
          </w:p>
        </w:tc>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both"/>
            </w:pPr>
            <w:r>
              <w:rPr>
                <w:color w:val="816C54"/>
                <w:spacing w:val="0"/>
                <w:w w:val="100"/>
                <w:position w:val="0"/>
                <w:shd w:val="clear" w:color="auto" w:fill="auto"/>
                <w:lang w:val="en-US" w:eastAsia="en-US" w:bidi="en-US"/>
              </w:rPr>
              <w:t>24</w:t>
            </w:r>
          </w:p>
        </w:tc>
        <w:tc>
          <w:tcPr>
            <w:tcBorders>
              <w:left w:val="single" w:sz="4"/>
              <w:righ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1044</w:t>
            </w:r>
          </w:p>
        </w:tc>
      </w:tr>
      <w:tr>
        <w:trPr>
          <w:trHeight w:val="181" w:hRule="exact"/>
        </w:trPr>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205</w:t>
            </w:r>
          </w:p>
        </w:tc>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34</w:t>
            </w:r>
          </w:p>
        </w:tc>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25</w:t>
            </w:r>
          </w:p>
        </w:tc>
        <w:tc>
          <w:tcPr>
            <w:tcBorders>
              <w:left w:val="single" w:sz="4"/>
              <w:righ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1136</w:t>
            </w:r>
          </w:p>
        </w:tc>
      </w:tr>
      <w:tr>
        <w:trPr>
          <w:trHeight w:val="185" w:hRule="exact"/>
        </w:trPr>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210</w:t>
            </w:r>
          </w:p>
        </w:tc>
        <w:tc>
          <w:tcPr>
            <w:tcBorders>
              <w:left w:val="single" w:sz="4"/>
            </w:tcBorders>
            <w:shd w:val="clear" w:color="auto" w:fill="EED3AE"/>
            <w:vAlign w:val="top"/>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35</w:t>
            </w:r>
          </w:p>
        </w:tc>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26</w:t>
            </w:r>
          </w:p>
        </w:tc>
        <w:tc>
          <w:tcPr>
            <w:tcBorders>
              <w:left w:val="single" w:sz="4"/>
              <w:right w:val="single" w:sz="4"/>
            </w:tcBorders>
            <w:shd w:val="clear" w:color="auto" w:fill="EED3AE"/>
            <w:vAlign w:val="top"/>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1231</w:t>
            </w:r>
          </w:p>
        </w:tc>
      </w:tr>
      <w:tr>
        <w:trPr>
          <w:trHeight w:val="176" w:hRule="exact"/>
        </w:trPr>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216</w:t>
            </w:r>
          </w:p>
        </w:tc>
        <w:tc>
          <w:tcPr>
            <w:tcBorders>
              <w:left w:val="single" w:sz="4"/>
            </w:tcBorders>
            <w:shd w:val="clear" w:color="auto" w:fill="EED3AE"/>
            <w:vAlign w:val="top"/>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36</w:t>
            </w:r>
          </w:p>
        </w:tc>
        <w:tc>
          <w:tcPr>
            <w:tcBorders>
              <w:left w:val="single" w:sz="4"/>
            </w:tcBorders>
            <w:shd w:val="clear" w:color="auto" w:fill="EED3AE"/>
            <w:vAlign w:val="top"/>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27</w:t>
            </w:r>
          </w:p>
        </w:tc>
        <w:tc>
          <w:tcPr>
            <w:tcBorders>
              <w:left w:val="single" w:sz="4"/>
              <w:right w:val="single" w:sz="4"/>
            </w:tcBorders>
            <w:shd w:val="clear" w:color="auto" w:fill="EED3AE"/>
            <w:vAlign w:val="top"/>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1240</w:t>
            </w:r>
          </w:p>
        </w:tc>
      </w:tr>
      <w:tr>
        <w:trPr>
          <w:trHeight w:val="181" w:hRule="exact"/>
        </w:trPr>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222</w:t>
            </w:r>
          </w:p>
        </w:tc>
        <w:tc>
          <w:tcPr>
            <w:tcBorders>
              <w:left w:val="single" w:sz="4"/>
            </w:tcBorders>
            <w:shd w:val="clear" w:color="auto" w:fill="EED3AE"/>
            <w:vAlign w:val="top"/>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37</w:t>
            </w:r>
          </w:p>
        </w:tc>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28</w:t>
            </w:r>
          </w:p>
        </w:tc>
        <w:tc>
          <w:tcPr>
            <w:tcBorders>
              <w:left w:val="single" w:sz="4"/>
              <w:right w:val="single" w:sz="4"/>
            </w:tcBorders>
            <w:shd w:val="clear" w:color="auto" w:fill="EED3AE"/>
            <w:vAlign w:val="top"/>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1455</w:t>
            </w:r>
          </w:p>
        </w:tc>
      </w:tr>
      <w:tr>
        <w:trPr>
          <w:trHeight w:val="181" w:hRule="exact"/>
        </w:trPr>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228</w:t>
            </w:r>
          </w:p>
        </w:tc>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38</w:t>
            </w:r>
          </w:p>
        </w:tc>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29</w:t>
            </w:r>
          </w:p>
        </w:tc>
        <w:tc>
          <w:tcPr>
            <w:tcBorders>
              <w:left w:val="single" w:sz="4"/>
              <w:righ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1576</w:t>
            </w:r>
          </w:p>
        </w:tc>
      </w:tr>
      <w:tr>
        <w:trPr>
          <w:trHeight w:val="181" w:hRule="exact"/>
        </w:trPr>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235</w:t>
            </w:r>
          </w:p>
        </w:tc>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39</w:t>
            </w:r>
          </w:p>
        </w:tc>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30</w:t>
            </w:r>
          </w:p>
        </w:tc>
        <w:tc>
          <w:tcPr>
            <w:tcBorders>
              <w:left w:val="single" w:sz="4"/>
              <w:righ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1712</w:t>
            </w:r>
          </w:p>
        </w:tc>
      </w:tr>
      <w:tr>
        <w:trPr>
          <w:trHeight w:val="185" w:hRule="exact"/>
        </w:trPr>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240</w:t>
            </w:r>
          </w:p>
        </w:tc>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40</w:t>
            </w:r>
          </w:p>
        </w:tc>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30</w:t>
            </w:r>
          </w:p>
        </w:tc>
        <w:tc>
          <w:tcPr>
            <w:tcBorders>
              <w:left w:val="single" w:sz="4"/>
              <w:righ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1838</w:t>
            </w:r>
          </w:p>
        </w:tc>
      </w:tr>
      <w:tr>
        <w:trPr>
          <w:trHeight w:val="185" w:hRule="exact"/>
        </w:trPr>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250</w:t>
            </w:r>
          </w:p>
        </w:tc>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40</w:t>
            </w:r>
          </w:p>
        </w:tc>
        <w:tc>
          <w:tcPr>
            <w:tcBorders>
              <w:lef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160"/>
              <w:jc w:val="both"/>
            </w:pPr>
            <w:r>
              <w:rPr>
                <w:color w:val="000000"/>
                <w:spacing w:val="0"/>
                <w:w w:val="100"/>
                <w:position w:val="0"/>
                <w:shd w:val="clear" w:color="auto" w:fill="auto"/>
                <w:lang w:val="en-US" w:eastAsia="en-US" w:bidi="en-US"/>
              </w:rPr>
              <w:t>30</w:t>
            </w:r>
          </w:p>
        </w:tc>
        <w:tc>
          <w:tcPr>
            <w:tcBorders>
              <w:left w:val="single" w:sz="4"/>
              <w:right w:val="single" w:sz="4"/>
            </w:tcBorders>
            <w:shd w:val="clear" w:color="auto" w:fill="EED3AE"/>
            <w:vAlign w:val="bottom"/>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1923</w:t>
            </w:r>
          </w:p>
        </w:tc>
      </w:tr>
      <w:tr>
        <w:trPr>
          <w:trHeight w:val="325" w:hRule="exact"/>
        </w:trPr>
        <w:tc>
          <w:tcPr>
            <w:tcBorders>
              <w:left w:val="single" w:sz="4"/>
              <w:bottom w:val="single" w:sz="4"/>
            </w:tcBorders>
            <w:shd w:val="clear" w:color="auto" w:fill="EED3AE"/>
            <w:vAlign w:val="top"/>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300</w:t>
            </w:r>
          </w:p>
        </w:tc>
        <w:tc>
          <w:tcPr>
            <w:tcBorders>
              <w:left w:val="single" w:sz="4"/>
              <w:bottom w:val="single" w:sz="4"/>
            </w:tcBorders>
            <w:shd w:val="clear" w:color="auto" w:fill="EED3AE"/>
            <w:vAlign w:val="top"/>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50</w:t>
            </w:r>
          </w:p>
        </w:tc>
        <w:tc>
          <w:tcPr>
            <w:tcBorders>
              <w:left w:val="single" w:sz="4"/>
              <w:bottom w:val="single" w:sz="4"/>
            </w:tcBorders>
            <w:shd w:val="clear" w:color="auto" w:fill="EED3AE"/>
            <w:vAlign w:val="top"/>
          </w:tcPr>
          <w:p>
            <w:pPr>
              <w:pStyle w:val="Style4"/>
              <w:keepNext w:val="0"/>
              <w:keepLines w:val="0"/>
              <w:widowControl w:val="0"/>
              <w:shd w:val="clear" w:color="auto" w:fill="auto"/>
              <w:bidi w:val="0"/>
              <w:spacing w:before="0" w:after="0" w:line="240" w:lineRule="auto"/>
              <w:ind w:left="0" w:right="0" w:firstLine="160"/>
              <w:jc w:val="both"/>
            </w:pPr>
            <w:r>
              <w:rPr>
                <w:spacing w:val="0"/>
                <w:w w:val="100"/>
                <w:position w:val="0"/>
                <w:shd w:val="clear" w:color="auto" w:fill="auto"/>
                <w:lang w:val="en-US" w:eastAsia="en-US" w:bidi="en-US"/>
              </w:rPr>
              <w:t>40</w:t>
            </w:r>
          </w:p>
        </w:tc>
        <w:tc>
          <w:tcPr>
            <w:tcBorders>
              <w:left w:val="single" w:sz="4"/>
              <w:bottom w:val="single" w:sz="4"/>
              <w:right w:val="single" w:sz="4"/>
            </w:tcBorders>
            <w:shd w:val="clear" w:color="auto" w:fill="EED3AE"/>
            <w:vAlign w:val="top"/>
          </w:tcPr>
          <w:p>
            <w:pPr>
              <w:pStyle w:val="Style4"/>
              <w:keepNext w:val="0"/>
              <w:keepLines w:val="0"/>
              <w:widowControl w:val="0"/>
              <w:shd w:val="clear" w:color="auto" w:fill="auto"/>
              <w:bidi w:val="0"/>
              <w:spacing w:before="0" w:after="0" w:line="240" w:lineRule="auto"/>
              <w:ind w:left="0" w:right="0" w:firstLine="0"/>
              <w:jc w:val="both"/>
            </w:pPr>
            <w:r>
              <w:rPr>
                <w:spacing w:val="0"/>
                <w:w w:val="100"/>
                <w:position w:val="0"/>
                <w:shd w:val="clear" w:color="auto" w:fill="auto"/>
                <w:lang w:val="en-US" w:eastAsia="en-US" w:bidi="en-US"/>
              </w:rPr>
              <w:t>3590</w:t>
            </w:r>
          </w:p>
        </w:tc>
      </w:tr>
    </w:tbl>
    <w:sectPr>
      <w:footnotePr>
        <w:pos w:val="pageBottom"/>
        <w:numFmt w:val="decimal"/>
        <w:numRestart w:val="continuous"/>
      </w:footnotePr>
      <w:pgSz w:w="12240" w:h="15840"/>
      <w:pgMar w:top="1586" w:left="1676" w:right="1882" w:bottom="880" w:header="1158" w:footer="452" w:gutter="0"/>
      <w:pgNumType w:start="26"/>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5">
    <w:name w:val="Other_"/>
    <w:basedOn w:val="DefaultParagraphFont"/>
    <w:link w:val="Style4"/>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4">
    <w:name w:val="Other"/>
    <w:basedOn w:val="Normal"/>
    <w:link w:val="CharStyle5"/>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