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weight is hung on the end of a prismatic beam, the curvature is nearly as the weight and the length di</w:t>
        <w:softHyphen/>
        <w:t xml:space="preserve">rectly, and as the breadth and the cube of the depth inversely ; for the strength is = ∕'θy∙ Let us suppose that this produces the ultimate curvature Now let the beam be loaded with a smaller weight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let the curvature 0^7"</w:t>
        <w:tab/>
        <w:t>1</w:t>
      </w:r>
    </w:p>
    <w:p>
      <w:pPr>
        <w:pStyle w:val="Style3"/>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produced be C; we have this analogy,/</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C, and C = ⅛⅛. It is evident that this is also true of a beam supported at the ends and loaded between the props ; and we see how to determine the curvature in its different parts, whether arising from the load, or from its own weight, or from both.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beam is thus loaded at the end or middle, the loaded point is pulled down, and the space through which it is drawn may be called the </w:t>
      </w:r>
      <w:r>
        <w:rPr>
          <w:rFonts w:ascii="Times New Roman" w:eastAsia="Times New Roman" w:hAnsi="Times New Roman" w:cs="Times New Roman"/>
          <w:i/>
          <w:iCs/>
          <w:color w:val="000000"/>
          <w:spacing w:val="0"/>
          <w:w w:val="100"/>
          <w:position w:val="0"/>
          <w:shd w:val="clear" w:color="auto" w:fill="auto"/>
          <w:lang w:val="en-US" w:eastAsia="en-US" w:bidi="en-US"/>
        </w:rPr>
        <w:t>deflection.</w:t>
      </w:r>
      <w:r>
        <w:rPr>
          <w:rFonts w:ascii="Times New Roman" w:eastAsia="Times New Roman" w:hAnsi="Times New Roman" w:cs="Times New Roman"/>
          <w:color w:val="000000"/>
          <w:spacing w:val="0"/>
          <w:w w:val="100"/>
          <w:position w:val="0"/>
          <w:shd w:val="clear" w:color="auto" w:fill="auto"/>
          <w:lang w:val="en-US" w:eastAsia="en-US" w:bidi="en-US"/>
        </w:rPr>
        <w:t xml:space="preserve"> This may be con</w:t>
        <w:softHyphen/>
        <w:t>sidered as the subtense of the angle of contact, or as the versed sine of the arch into which the beam is bent, and is therefore as the curvature when the length of the arches is given (the flexure being moderate), and as the square of the length of the arch when the curvature is given. The deflection therefore is as the curvature and as the square of the length of the arch jointly; that is, as</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or as</w:t>
      </w:r>
    </w:p>
    <w:p>
      <w:pPr>
        <w:pStyle w:val="Style3"/>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deflection from the primitive shape is therefore as the bending weight and the cube of the length directly, and as the breadth and cube of the depth inversely.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beams just ready to break, the curvature is as the depth inversely, and the deflection is as the square of the length divided by the depth ; for the ultimate curvature at the breaking part is the same whatever is the length ; and in this case the deflection is as the square of the iength.</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been the more particular in our consideration of this subject, because the resulting theorems afford us the finest methods of examining the laws of corpuscular action, that is, for discovering the variation of the force of cohesion by a change of distance. It is true it is not the atomical law, or </w:t>
      </w:r>
      <w:r>
        <w:rPr>
          <w:rFonts w:ascii="Times New Roman" w:eastAsia="Times New Roman" w:hAnsi="Times New Roman" w:cs="Times New Roman"/>
          <w:i/>
          <w:iCs/>
          <w:color w:val="000000"/>
          <w:spacing w:val="0"/>
          <w:w w:val="100"/>
          <w:position w:val="0"/>
          <w:shd w:val="clear" w:color="auto" w:fill="auto"/>
          <w:lang w:val="en-US" w:eastAsia="en-US" w:bidi="en-US"/>
        </w:rPr>
        <w:t>hylαrchic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as it may justly be called, which is thus made accessible, but the specific law of the particles of the substance or kind of matter under examination. But even this is a very great point ; and co</w:t>
        <w:softHyphen/>
        <w:t>incidences in this respect among the different kinds of mat</w:t>
        <w:softHyphen/>
        <w:t>ter are of great moment. We may thus learn the nature of the corpuscular action of different substances, and per</w:t>
        <w:softHyphen/>
        <w:t xml:space="preserve">haps approach to a discovery of the </w:t>
      </w:r>
      <w:r>
        <w:rPr>
          <w:rFonts w:ascii="Times New Roman" w:eastAsia="Times New Roman" w:hAnsi="Times New Roman" w:cs="Times New Roman"/>
          <w:i/>
          <w:iCs/>
          <w:color w:val="000000"/>
          <w:spacing w:val="0"/>
          <w:w w:val="100"/>
          <w:position w:val="0"/>
          <w:shd w:val="clear" w:color="auto" w:fill="auto"/>
          <w:lang w:val="en-US" w:eastAsia="en-US" w:bidi="en-US"/>
        </w:rPr>
        <w:t>mechanism</w:t>
      </w:r>
      <w:r>
        <w:rPr>
          <w:rFonts w:ascii="Times New Roman" w:eastAsia="Times New Roman" w:hAnsi="Times New Roman" w:cs="Times New Roman"/>
          <w:color w:val="000000"/>
          <w:spacing w:val="0"/>
          <w:w w:val="100"/>
          <w:position w:val="0"/>
          <w:shd w:val="clear" w:color="auto" w:fill="auto"/>
          <w:lang w:val="en-US" w:eastAsia="en-US" w:bidi="en-US"/>
        </w:rPr>
        <w:t xml:space="preserve"> of chemical affinities. For that chemical actions are insensible cases of local motion is undeniable, and local motion is the province of mechanical discussion ; nay, we see that these hidden changes are produced by mechanical forces in many im</w:t>
        <w:softHyphen/>
        <w:t xml:space="preserve">portant cases, for we see them promoted or prevented by means purely mechanical. The conversion of bodies into elastic vapour by heat can at all times be prevented by a </w:t>
      </w:r>
      <w:r>
        <w:rPr>
          <w:rFonts w:ascii="Times New Roman" w:eastAsia="Times New Roman" w:hAnsi="Times New Roman" w:cs="Times New Roman"/>
          <w:i/>
          <w:iCs/>
          <w:color w:val="000000"/>
          <w:spacing w:val="0"/>
          <w:w w:val="100"/>
          <w:position w:val="0"/>
          <w:shd w:val="clear" w:color="auto" w:fill="auto"/>
          <w:lang w:val="en-US" w:eastAsia="en-US" w:bidi="en-US"/>
        </w:rPr>
        <w:t>sufficient</w:t>
      </w:r>
      <w:r>
        <w:rPr>
          <w:rFonts w:ascii="Times New Roman" w:eastAsia="Times New Roman" w:hAnsi="Times New Roman" w:cs="Times New Roman"/>
          <w:color w:val="000000"/>
          <w:spacing w:val="0"/>
          <w:w w:val="100"/>
          <w:position w:val="0"/>
          <w:shd w:val="clear" w:color="auto" w:fill="auto"/>
          <w:lang w:val="en-US" w:eastAsia="en-US" w:bidi="en-US"/>
        </w:rPr>
        <w:t xml:space="preserve"> external pressure. A strong solution of Glauber’s salts will congeal in an instant by agitation, giving out its latent heat ; and it will remain fluid for ever, and retain its latent heat in a close vessel which it completely fills. Even water will by such treatment freeze in an instant by agita</w:t>
        <w:softHyphen/>
        <w:t>tion, or remain fluid for ever by confinement. We know that heat is produced or extricated by friction, that certain compounds of gold or silver with saline matters explode with irresistible violence by the smallest pressure or agita</w:t>
        <w:softHyphen/>
        <w:t>tion. Such facts should rouse the mathematical philoso</w:t>
        <w:softHyphen/>
        <w:t>pher, and excite him to follow out the conjectures of the illustrious Newton, encouraged by the ingenious attempts of Boscovich ; and the proper beginning of this study is to at</w:t>
        <w:softHyphen/>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tend to the laws of attraction and repulsion exerted by the particles of cohering bodies, discoverable by experiments made on their actual extensions and compressions. The experiments of simple extensions and compressions are quite insufficient, because the total stretching of a wire is so small a quantity, that the mistake of the 1000th part of an inch occasions an irregularity which deranges any progression so as to make it useless. But by the bending of bodies a distention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th of an inch may be easily magnified in the deflection of the spring ten thousand times. We know that the investigation is intricate and difficult, but not be</w:t>
        <w:softHyphen/>
        <w:t>yond the reach of our present mathematical attainments ; and it will give very fine opportunities of employing all the address of analysis. In the 17th century and the beginning of the 18th this was a sufficient excitement to the first ge</w:t>
        <w:softHyphen/>
        <w:t xml:space="preserve">niuses of Europe. The cycloid, the </w:t>
      </w:r>
      <w:r>
        <w:rPr>
          <w:rFonts w:ascii="Times New Roman" w:eastAsia="Times New Roman" w:hAnsi="Times New Roman" w:cs="Times New Roman"/>
          <w:color w:val="000000"/>
          <w:spacing w:val="0"/>
          <w:w w:val="100"/>
          <w:position w:val="0"/>
          <w:shd w:val="clear" w:color="auto" w:fill="auto"/>
          <w:lang w:val="la-001" w:eastAsia="la-001" w:bidi="la-001"/>
        </w:rPr>
        <w:t xml:space="preserve">catenaria, </w:t>
      </w:r>
      <w:r>
        <w:rPr>
          <w:rFonts w:ascii="Times New Roman" w:eastAsia="Times New Roman" w:hAnsi="Times New Roman" w:cs="Times New Roman"/>
          <w:color w:val="000000"/>
          <w:spacing w:val="0"/>
          <w:w w:val="100"/>
          <w:position w:val="0"/>
          <w:shd w:val="clear" w:color="auto" w:fill="auto"/>
          <w:lang w:val="en-US" w:eastAsia="en-US" w:bidi="en-US"/>
        </w:rPr>
        <w:t>the elastic curve, the velaria, the caustics, were reckoned an abundant recompense for much study ; and James Bernoulli request</w:t>
        <w:softHyphen/>
        <w:t>ed, as an honourable monument, that the logarithmic spiral might be inscribed on his tombstone. The reward for the study to which we now presume to incite the mathemati</w:t>
        <w:softHyphen/>
        <w:t>cians is the almost unlimited extension of natural science, important in every particular branch. To go no further than our present subject, a great deal of important practi</w:t>
        <w:softHyphen/>
        <w:t>cal knowledge respecting the strength of bodies is derived from the single observation, that in the moderate extensions which happen before the parts are overstrained, the forces are nearly in the proportion of the extensions or separations of the particles. To return to our subject.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Bernoulli, in his second dissertation on the elastic curve, calls in question this law, and accommodates his in</w:t>
        <w:softHyphen/>
        <w:t>vestigation to any hypothesis concerning the relation of the forces and extensions. He relates some experiments of lute</w:t>
        <w:softHyphen/>
        <w:t>strings where the relation was considerably different. Strings of three feet long,</w:t>
      </w:r>
    </w:p>
    <w:p>
      <w:pPr>
        <w:pStyle w:val="Style3"/>
        <w:keepNext w:val="0"/>
        <w:keepLines w:val="0"/>
        <w:widowControl w:val="0"/>
        <w:shd w:val="clear" w:color="auto" w:fill="auto"/>
        <w:tabs>
          <w:tab w:pos="1283"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stretched by</w:t>
        <w:tab/>
        <w:t>2, 4, 6, 8, 10 pounds,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lengthened 9, 17, 23, 27, 30 lines.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this is a most exceptionable form of the experiment. The strings were twisted, and the mechanism of the exten</w:t>
        <w:softHyphen/>
        <w:t>sions is here exceedingly complicated, combined with com</w:t>
        <w:softHyphen/>
        <w:t>pressions and with transverse twists, &amp;c. We made expe</w:t>
        <w:softHyphen/>
        <w:t>riments on fine slips of the gum caoutchouc, and on the juice of the berries of the white bryony, of which a single grain will draw to a thread of two feet long, and again return in</w:t>
        <w:softHyphen/>
        <w:t>to a perfectly round sphere. We measured the diameter of the thread by a microscope with a micrometer, and thus could tell in every state of extension the proportional num</w:t>
        <w:softHyphen/>
        <w:t xml:space="preserve">ber of particles in the sections. We found, that through the whole range in which the distance of the particles was changed in the proportion of thirteen to one, the extensions did not </w:t>
      </w:r>
      <w:r>
        <w:rPr>
          <w:rFonts w:ascii="Times New Roman" w:eastAsia="Times New Roman" w:hAnsi="Times New Roman" w:cs="Times New Roman"/>
          <w:i/>
          <w:iCs/>
          <w:color w:val="000000"/>
          <w:spacing w:val="0"/>
          <w:w w:val="100"/>
          <w:position w:val="0"/>
          <w:shd w:val="clear" w:color="auto" w:fill="auto"/>
          <w:lang w:val="en-US" w:eastAsia="en-US" w:bidi="en-US"/>
        </w:rPr>
        <w:t>sensibly</w:t>
      </w:r>
      <w:r>
        <w:rPr>
          <w:rFonts w:ascii="Times New Roman" w:eastAsia="Times New Roman" w:hAnsi="Times New Roman" w:cs="Times New Roman"/>
          <w:color w:val="000000"/>
          <w:spacing w:val="0"/>
          <w:w w:val="100"/>
          <w:position w:val="0"/>
          <w:shd w:val="clear" w:color="auto" w:fill="auto"/>
          <w:lang w:val="en-US" w:eastAsia="en-US" w:bidi="en-US"/>
        </w:rPr>
        <w:t xml:space="preserve"> deviate from the proportion of the forces. The same thing was observed in the caoutchouc as long as it perfectly recovered its first dimensions. And it is on the authority of these experiments that we presume to announce this as a law of nature.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Robert Hooke was undoubtedly the first who attend</w:t>
        <w:softHyphen/>
        <w:t>ed to this subject, and assumed this as a law of nature. Mariotte indeed was the first who expressly used it for de</w:t>
        <w:softHyphen/>
        <w:t xml:space="preserve">termining the strength of beams : this he did about the year 1679, correcting the simple theory of Galileo. Leibnitz, indeed, in his dissertation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Acta </w:t>
      </w:r>
      <w:r>
        <w:rPr>
          <w:rFonts w:ascii="Times New Roman" w:eastAsia="Times New Roman" w:hAnsi="Times New Roman" w:cs="Times New Roman"/>
          <w:i/>
          <w:iCs/>
          <w:color w:val="000000"/>
          <w:spacing w:val="0"/>
          <w:w w:val="100"/>
          <w:position w:val="0"/>
          <w:shd w:val="clear" w:color="auto" w:fill="auto"/>
          <w:lang w:val="la-001" w:eastAsia="la-001" w:bidi="la-001"/>
        </w:rPr>
        <w:t>Eruditorum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1684,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Resistentia Solidorum,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introduces this consideration, and wishes to be considered as the discoverer ; and he is always acknowledged as such by the Bernoullis, and others who ad</w:t>
        <w:softHyphen/>
        <w:t xml:space="preserve">hered to his peculiar doctrines. But Mariotte had published the doctrine in the most express terms long before ; and Bulfinger, in the </w:t>
      </w:r>
      <w:r>
        <w:rPr>
          <w:rFonts w:ascii="Times New Roman" w:eastAsia="Times New Roman" w:hAnsi="Times New Roman" w:cs="Times New Roman"/>
          <w:i/>
          <w:iCs/>
          <w:color w:val="000000"/>
          <w:spacing w:val="0"/>
          <w:w w:val="100"/>
          <w:position w:val="0"/>
          <w:shd w:val="clear" w:color="auto" w:fill="auto"/>
          <w:lang w:val="en-US" w:eastAsia="en-US" w:bidi="en-US"/>
        </w:rPr>
        <w:t>Comment. Petropol.</w:t>
      </w:r>
      <w:r>
        <w:rPr>
          <w:rFonts w:ascii="Times New Roman" w:eastAsia="Times New Roman" w:hAnsi="Times New Roman" w:cs="Times New Roman"/>
          <w:color w:val="000000"/>
          <w:spacing w:val="0"/>
          <w:w w:val="100"/>
          <w:position w:val="0"/>
          <w:shd w:val="clear" w:color="auto" w:fill="auto"/>
          <w:lang w:val="en-US" w:eastAsia="en-US" w:bidi="en-US"/>
        </w:rPr>
        <w:t xml:space="preserve"> 1729, completely vin</w:t>
        <w:softHyphen/>
        <w:t>dicates his claim. But Hooke was unquestionably the discoverer of this law. It made the foundation of his theory of springs, announced to the Royal Society about the year 1661, and read in 1666. On this occasion he mentions</w:t>
      </w:r>
    </w:p>
    <w:sectPr>
      <w:footnotePr>
        <w:pos w:val="pageBottom"/>
        <w:numFmt w:val="decimal"/>
        <w:numRestart w:val="continuous"/>
      </w:footnotePr>
      <w:pgSz w:w="12240" w:h="15840"/>
      <w:pgMar w:top="1830" w:left="1807" w:right="2195"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