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z w:val="46"/>
          <w:szCs w:val="46"/>
          <w:shd w:val="clear" w:color="auto" w:fill="auto"/>
          <w:lang w:val="en-US" w:eastAsia="en-US" w:bidi="en-US"/>
        </w:rPr>
        <w:t>T</w:t>
      </w:r>
      <w:r>
        <w:rPr>
          <w:color w:val="000000"/>
          <w:spacing w:val="0"/>
          <w:w w:val="100"/>
          <w:position w:val="-1"/>
          <w:sz w:val="46"/>
          <w:szCs w:val="46"/>
          <w:shd w:val="clear" w:color="auto" w:fill="auto"/>
          <w:lang w:val="en-US" w:eastAsia="en-US" w:bidi="en-US"/>
        </w:rPr>
        <w:t xml:space="preserve">, </w:t>
      </w:r>
      <w:r>
        <w:rPr>
          <w:color w:val="000000"/>
          <w:spacing w:val="0"/>
          <w:w w:val="100"/>
          <w:position w:val="0"/>
          <w:shd w:val="clear" w:color="auto" w:fill="auto"/>
          <w:lang w:val="en-US" w:eastAsia="en-US" w:bidi="en-US"/>
        </w:rPr>
        <w:t>or t, the nineteenth letter and sixteenth consonant of our alphabet ; the sound of which is formed by a strong expulsion of the breath through the mouth, upon a sudden drawing back of the tongue from the fore-part of the palate, with the lips at the same time open. The pro</w:t>
        <w:softHyphen/>
        <w:t xml:space="preserve">per sound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expressed in most words beginning or ending with that letter ; as in </w:t>
      </w:r>
      <w:r>
        <w:rPr>
          <w:i/>
          <w:iCs/>
          <w:color w:val="000000"/>
          <w:spacing w:val="0"/>
          <w:w w:val="100"/>
          <w:position w:val="0"/>
          <w:shd w:val="clear" w:color="auto" w:fill="auto"/>
          <w:lang w:val="en-US" w:eastAsia="en-US" w:bidi="en-US"/>
        </w:rPr>
        <w:t>take, tell, hot, put. Ti</w:t>
      </w:r>
      <w:r>
        <w:rPr>
          <w:color w:val="000000"/>
          <w:spacing w:val="0"/>
          <w:w w:val="100"/>
          <w:position w:val="0"/>
          <w:shd w:val="clear" w:color="auto" w:fill="auto"/>
          <w:lang w:val="en-US" w:eastAsia="en-US" w:bidi="en-US"/>
        </w:rPr>
        <w:t xml:space="preserve"> be</w:t>
        <w:softHyphen/>
        <w:t xml:space="preserve">fore a vowel has the sound of </w:t>
      </w:r>
      <w:r>
        <w:rPr>
          <w:i/>
          <w:iCs/>
          <w:color w:val="000000"/>
          <w:spacing w:val="0"/>
          <w:w w:val="100"/>
          <w:position w:val="0"/>
          <w:shd w:val="clear" w:color="auto" w:fill="auto"/>
          <w:lang w:val="en-US" w:eastAsia="en-US" w:bidi="en-US"/>
        </w:rPr>
        <w:t>si,</w:t>
      </w:r>
      <w:r>
        <w:rPr>
          <w:color w:val="000000"/>
          <w:spacing w:val="0"/>
          <w:w w:val="100"/>
          <w:position w:val="0"/>
          <w:shd w:val="clear" w:color="auto" w:fill="auto"/>
          <w:lang w:val="en-US" w:eastAsia="en-US" w:bidi="en-US"/>
        </w:rPr>
        <w:t xml:space="preserve"> or rather of </w:t>
      </w:r>
      <w:r>
        <w:rPr>
          <w:i/>
          <w:iCs/>
          <w:color w:val="000000"/>
          <w:spacing w:val="0"/>
          <w:w w:val="100"/>
          <w:position w:val="0"/>
          <w:shd w:val="clear" w:color="auto" w:fill="auto"/>
          <w:lang w:val="en-US" w:eastAsia="en-US" w:bidi="en-US"/>
        </w:rPr>
        <w:t>shi,</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crea</w:t>
        <w:softHyphen/>
        <w:t>tion,</w:t>
      </w:r>
      <w:r>
        <w:rPr>
          <w:color w:val="000000"/>
          <w:spacing w:val="0"/>
          <w:w w:val="100"/>
          <w:position w:val="0"/>
          <w:shd w:val="clear" w:color="auto" w:fill="auto"/>
          <w:lang w:val="en-US" w:eastAsia="en-US" w:bidi="en-US"/>
        </w:rPr>
        <w:t xml:space="preserve"> except when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precedes, as in </w:t>
      </w:r>
      <w:r>
        <w:rPr>
          <w:i/>
          <w:iCs/>
          <w:color w:val="000000"/>
          <w:spacing w:val="0"/>
          <w:w w:val="100"/>
          <w:position w:val="0"/>
          <w:shd w:val="clear" w:color="auto" w:fill="auto"/>
          <w:lang w:val="en-US" w:eastAsia="en-US" w:bidi="en-US"/>
        </w:rPr>
        <w:t>question</w:t>
      </w:r>
      <w:r>
        <w:rPr>
          <w:color w:val="000000"/>
          <w:spacing w:val="0"/>
          <w:w w:val="100"/>
          <w:position w:val="0"/>
          <w:shd w:val="clear" w:color="auto" w:fill="auto"/>
          <w:lang w:val="en-US" w:eastAsia="en-US" w:bidi="en-US"/>
        </w:rPr>
        <w:t xml:space="preserve"> ; and deriva</w:t>
        <w:softHyphen/>
        <w:t xml:space="preserve">tives from words ending in </w:t>
      </w:r>
      <w:r>
        <w:rPr>
          <w:i/>
          <w:iCs/>
          <w:color w:val="000000"/>
          <w:spacing w:val="0"/>
          <w:w w:val="100"/>
          <w:position w:val="0"/>
          <w:shd w:val="clear" w:color="auto" w:fill="auto"/>
          <w:lang w:val="en-US" w:eastAsia="en-US" w:bidi="en-US"/>
        </w:rPr>
        <w:t>ty,</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 xml:space="preserve">mighty, mightier. Th </w:t>
      </w:r>
      <w:r>
        <w:rPr>
          <w:color w:val="000000"/>
          <w:spacing w:val="0"/>
          <w:w w:val="100"/>
          <w:position w:val="0"/>
          <w:shd w:val="clear" w:color="auto" w:fill="auto"/>
          <w:lang w:val="en-US" w:eastAsia="en-US" w:bidi="en-US"/>
        </w:rPr>
        <w:t xml:space="preserve">has two sounds ; the one soft, as </w:t>
      </w:r>
      <w:r>
        <w:rPr>
          <w:i/>
          <w:iCs/>
          <w:color w:val="000000"/>
          <w:spacing w:val="0"/>
          <w:w w:val="100"/>
          <w:position w:val="0"/>
          <w:shd w:val="clear" w:color="auto" w:fill="auto"/>
          <w:lang w:val="en-US" w:eastAsia="en-US" w:bidi="en-US"/>
        </w:rPr>
        <w:t>thou, father ;</w:t>
      </w:r>
      <w:r>
        <w:rPr>
          <w:color w:val="000000"/>
          <w:spacing w:val="0"/>
          <w:w w:val="100"/>
          <w:position w:val="0"/>
          <w:shd w:val="clear" w:color="auto" w:fill="auto"/>
          <w:lang w:val="en-US" w:eastAsia="en-US" w:bidi="en-US"/>
        </w:rPr>
        <w:t xml:space="preserve"> the other hard, as </w:t>
      </w:r>
      <w:r>
        <w:rPr>
          <w:i/>
          <w:iCs/>
          <w:color w:val="000000"/>
          <w:spacing w:val="0"/>
          <w:w w:val="100"/>
          <w:position w:val="0"/>
          <w:shd w:val="clear" w:color="auto" w:fill="auto"/>
          <w:lang w:val="en-US" w:eastAsia="en-US" w:bidi="en-US"/>
        </w:rPr>
        <w:t>thing, think.</w:t>
      </w:r>
      <w:r>
        <w:rPr>
          <w:color w:val="000000"/>
          <w:spacing w:val="0"/>
          <w:w w:val="100"/>
          <w:position w:val="0"/>
          <w:shd w:val="clear" w:color="auto" w:fill="auto"/>
          <w:lang w:val="en-US" w:eastAsia="en-US" w:bidi="en-US"/>
        </w:rPr>
        <w:t xml:space="preserve"> The sound is soft in these words, </w:t>
      </w:r>
      <w:r>
        <w:rPr>
          <w:i/>
          <w:iCs/>
          <w:color w:val="000000"/>
          <w:spacing w:val="0"/>
          <w:w w:val="100"/>
          <w:position w:val="0"/>
          <w:shd w:val="clear" w:color="auto" w:fill="auto"/>
          <w:lang w:val="en-US" w:eastAsia="en-US" w:bidi="en-US"/>
        </w:rPr>
        <w:t>then, thence,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there,</w:t>
      </w:r>
      <w:r>
        <w:rPr>
          <w:color w:val="000000"/>
          <w:spacing w:val="0"/>
          <w:w w:val="100"/>
          <w:position w:val="0"/>
          <w:shd w:val="clear" w:color="auto" w:fill="auto"/>
          <w:lang w:val="en-US" w:eastAsia="en-US" w:bidi="en-US"/>
        </w:rPr>
        <w:t xml:space="preserve"> with their derivatives and com</w:t>
        <w:softHyphen/>
        <w:t xml:space="preserve">pounds ; and in the words </w:t>
      </w:r>
      <w:r>
        <w:rPr>
          <w:i/>
          <w:iCs/>
          <w:color w:val="000000"/>
          <w:spacing w:val="0"/>
          <w:w w:val="100"/>
          <w:position w:val="0"/>
          <w:shd w:val="clear" w:color="auto" w:fill="auto"/>
          <w:lang w:val="en-US" w:eastAsia="en-US" w:bidi="en-US"/>
        </w:rPr>
        <w:t>that, this, thus, thy, they, though ;</w:t>
      </w:r>
      <w:r>
        <w:rPr>
          <w:color w:val="000000"/>
          <w:spacing w:val="0"/>
          <w:w w:val="100"/>
          <w:position w:val="0"/>
          <w:shd w:val="clear" w:color="auto" w:fill="auto"/>
          <w:lang w:val="en-US" w:eastAsia="en-US" w:bidi="en-US"/>
        </w:rPr>
        <w:t xml:space="preserve"> and in all words in which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comes between two vowels, as, </w:t>
      </w:r>
      <w:r>
        <w:rPr>
          <w:i/>
          <w:iCs/>
          <w:color w:val="000000"/>
          <w:spacing w:val="0"/>
          <w:w w:val="100"/>
          <w:position w:val="0"/>
          <w:shd w:val="clear" w:color="auto" w:fill="auto"/>
          <w:lang w:val="en-US" w:eastAsia="en-US" w:bidi="en-US"/>
        </w:rPr>
        <w:t>whether, rather ;</w:t>
      </w:r>
      <w:r>
        <w:rPr>
          <w:color w:val="000000"/>
          <w:spacing w:val="0"/>
          <w:w w:val="100"/>
          <w:position w:val="0"/>
          <w:shd w:val="clear" w:color="auto" w:fill="auto"/>
          <w:lang w:val="en-US" w:eastAsia="en-US" w:bidi="en-US"/>
        </w:rPr>
        <w:t xml:space="preserve"> and between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a vowel, as </w:t>
      </w:r>
      <w:r>
        <w:rPr>
          <w:i/>
          <w:iCs/>
          <w:color w:val="000000"/>
          <w:spacing w:val="0"/>
          <w:w w:val="100"/>
          <w:position w:val="0"/>
          <w:shd w:val="clear" w:color="auto" w:fill="auto"/>
          <w:lang w:val="en-US" w:eastAsia="en-US" w:bidi="en-US"/>
        </w:rPr>
        <w:t>burthen.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abbreviations, among the Roman writers, T. stands for </w:t>
      </w:r>
      <w:r>
        <w:rPr>
          <w:i/>
          <w:iCs/>
          <w:color w:val="000000"/>
          <w:spacing w:val="0"/>
          <w:w w:val="100"/>
          <w:position w:val="0"/>
          <w:shd w:val="clear" w:color="auto" w:fill="auto"/>
          <w:lang w:val="en-US" w:eastAsia="en-US" w:bidi="en-US"/>
        </w:rPr>
        <w:t xml:space="preserve">Titus, </w:t>
      </w:r>
      <w:r>
        <w:rPr>
          <w:i/>
          <w:iCs/>
          <w:color w:val="000000"/>
          <w:spacing w:val="0"/>
          <w:w w:val="100"/>
          <w:position w:val="0"/>
          <w:shd w:val="clear" w:color="auto" w:fill="auto"/>
          <w:lang w:val="la-001" w:eastAsia="la-001" w:bidi="la-001"/>
        </w:rPr>
        <w:t xml:space="preserve">Titius,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Tab. for </w:t>
      </w:r>
      <w:r>
        <w:rPr>
          <w:i/>
          <w:iCs/>
          <w:color w:val="000000"/>
          <w:spacing w:val="0"/>
          <w:w w:val="100"/>
          <w:position w:val="0"/>
          <w:shd w:val="clear" w:color="auto" w:fill="auto"/>
          <w:lang w:val="la-001" w:eastAsia="la-001" w:bidi="la-001"/>
        </w:rPr>
        <w:t xml:space="preserve">Tabularius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Tab.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H. C. </w:t>
      </w:r>
      <w:r>
        <w:rPr>
          <w:i/>
          <w:iCs/>
          <w:color w:val="000000"/>
          <w:spacing w:val="0"/>
          <w:w w:val="100"/>
          <w:position w:val="0"/>
          <w:shd w:val="clear" w:color="auto" w:fill="auto"/>
          <w:lang w:val="la-001" w:eastAsia="la-001" w:bidi="la-001"/>
        </w:rPr>
        <w:t>Tabularius Provincia Hispania citerioris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Tar. </w:t>
      </w:r>
      <w:r>
        <w:rPr>
          <w:i/>
          <w:iCs/>
          <w:color w:val="000000"/>
          <w:spacing w:val="0"/>
          <w:w w:val="100"/>
          <w:position w:val="0"/>
          <w:shd w:val="clear" w:color="auto" w:fill="auto"/>
          <w:lang w:val="la-001" w:eastAsia="la-001" w:bidi="la-001"/>
        </w:rPr>
        <w:t>Tar</w:t>
        <w:softHyphen/>
        <w:t>quinius ;</w:t>
      </w:r>
      <w:r>
        <w:rPr>
          <w:color w:val="000000"/>
          <w:spacing w:val="0"/>
          <w:w w:val="100"/>
          <w:position w:val="0"/>
          <w:shd w:val="clear" w:color="auto" w:fill="auto"/>
          <w:lang w:val="la-001" w:eastAsia="la-001" w:bidi="la-001"/>
        </w:rPr>
        <w:t xml:space="preserve"> Ti. </w:t>
      </w:r>
      <w:r>
        <w:rPr>
          <w:i/>
          <w:iCs/>
          <w:color w:val="000000"/>
          <w:spacing w:val="0"/>
          <w:w w:val="100"/>
          <w:position w:val="0"/>
          <w:shd w:val="clear" w:color="auto" w:fill="auto"/>
          <w:lang w:val="la-001" w:eastAsia="la-001" w:bidi="la-001"/>
        </w:rPr>
        <w:t>Tiberius ;</w:t>
      </w:r>
      <w:r>
        <w:rPr>
          <w:color w:val="000000"/>
          <w:spacing w:val="0"/>
          <w:w w:val="100"/>
          <w:position w:val="0"/>
          <w:shd w:val="clear" w:color="auto" w:fill="auto"/>
          <w:lang w:val="la-001" w:eastAsia="la-001" w:bidi="la-001"/>
        </w:rPr>
        <w:t xml:space="preserve"> Ti.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la-001" w:eastAsia="la-001" w:bidi="la-001"/>
        </w:rPr>
        <w:t>Tiberii filius ;</w:t>
      </w:r>
      <w:r>
        <w:rPr>
          <w:color w:val="000000"/>
          <w:spacing w:val="0"/>
          <w:w w:val="100"/>
          <w:position w:val="0"/>
          <w:shd w:val="clear" w:color="auto" w:fill="auto"/>
          <w:lang w:val="la-001" w:eastAsia="la-001" w:bidi="la-001"/>
        </w:rPr>
        <w:t xml:space="preserve"> Ti. L. </w:t>
      </w:r>
      <w:r>
        <w:rPr>
          <w:i/>
          <w:iCs/>
          <w:color w:val="000000"/>
          <w:spacing w:val="0"/>
          <w:w w:val="100"/>
          <w:position w:val="0"/>
          <w:shd w:val="clear" w:color="auto" w:fill="auto"/>
          <w:lang w:val="la-001" w:eastAsia="la-001" w:bidi="la-001"/>
        </w:rPr>
        <w:t>Ti</w:t>
        <w:softHyphen/>
        <w:t>berii libertus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Ti. </w:t>
      </w:r>
      <w:r>
        <w:rPr>
          <w:color w:val="000000"/>
          <w:spacing w:val="0"/>
          <w:w w:val="100"/>
          <w:position w:val="0"/>
          <w:shd w:val="clear" w:color="auto" w:fill="auto"/>
          <w:lang w:val="la-001" w:eastAsia="la-001" w:bidi="la-001"/>
        </w:rPr>
        <w:t xml:space="preserve">N. </w:t>
      </w:r>
      <w:r>
        <w:rPr>
          <w:i/>
          <w:iCs/>
          <w:color w:val="000000"/>
          <w:spacing w:val="0"/>
          <w:w w:val="100"/>
          <w:position w:val="0"/>
          <w:shd w:val="clear" w:color="auto" w:fill="auto"/>
          <w:lang w:val="la-001" w:eastAsia="la-001" w:bidi="la-001"/>
        </w:rPr>
        <w:t>Tiberii Nepos ;</w:t>
      </w:r>
      <w:r>
        <w:rPr>
          <w:color w:val="000000"/>
          <w:spacing w:val="0"/>
          <w:w w:val="100"/>
          <w:position w:val="0"/>
          <w:shd w:val="clear" w:color="auto" w:fill="auto"/>
          <w:lang w:val="la-001" w:eastAsia="la-001" w:bidi="la-001"/>
        </w:rPr>
        <w:t xml:space="preserve"> T. </w:t>
      </w:r>
      <w:r>
        <w:rPr>
          <w:color w:val="000000"/>
          <w:spacing w:val="0"/>
          <w:w w:val="100"/>
          <w:position w:val="0"/>
          <w:shd w:val="clear" w:color="auto" w:fill="auto"/>
          <w:lang w:val="fr-FR" w:eastAsia="fr-FR" w:bidi="fr-FR"/>
        </w:rPr>
        <w:t xml:space="preserve">J. A. </w:t>
      </w:r>
      <w:r>
        <w:rPr>
          <w:color w:val="000000"/>
          <w:spacing w:val="0"/>
          <w:w w:val="100"/>
          <w:position w:val="0"/>
          <w:shd w:val="clear" w:color="auto" w:fill="auto"/>
          <w:lang w:val="la-001" w:eastAsia="la-001" w:bidi="la-001"/>
        </w:rPr>
        <w:t xml:space="preserve">V.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la-001" w:eastAsia="la-001" w:bidi="la-001"/>
        </w:rPr>
        <w:t xml:space="preserve">V. D. </w:t>
      </w:r>
      <w:r>
        <w:rPr>
          <w:i/>
          <w:iCs/>
          <w:color w:val="000000"/>
          <w:spacing w:val="0"/>
          <w:w w:val="100"/>
          <w:position w:val="0"/>
          <w:shd w:val="clear" w:color="auto" w:fill="auto"/>
          <w:lang w:val="la-001" w:eastAsia="la-001" w:bidi="la-001"/>
        </w:rPr>
        <w:t>tempore judicem arbitrumve postulat ut der ;</w:t>
      </w:r>
      <w:r>
        <w:rPr>
          <w:color w:val="000000"/>
          <w:spacing w:val="0"/>
          <w:w w:val="100"/>
          <w:position w:val="0"/>
          <w:shd w:val="clear" w:color="auto" w:fill="auto"/>
          <w:lang w:val="la-001" w:eastAsia="la-001" w:bidi="la-001"/>
        </w:rPr>
        <w:t xml:space="preserve"> T. Μ. P. </w:t>
      </w:r>
      <w:r>
        <w:rPr>
          <w:i/>
          <w:iCs/>
          <w:color w:val="000000"/>
          <w:spacing w:val="0"/>
          <w:w w:val="100"/>
          <w:position w:val="0"/>
          <w:shd w:val="clear" w:color="auto" w:fill="auto"/>
          <w:lang w:val="la-001" w:eastAsia="la-001" w:bidi="la-001"/>
        </w:rPr>
        <w:t>ter</w:t>
        <w:softHyphen/>
        <w:t>minum posuit;</w:t>
      </w:r>
      <w:r>
        <w:rPr>
          <w:color w:val="000000"/>
          <w:spacing w:val="0"/>
          <w:w w:val="100"/>
          <w:position w:val="0"/>
          <w:shd w:val="clear" w:color="auto" w:fill="auto"/>
          <w:lang w:val="la-001" w:eastAsia="la-001" w:bidi="la-001"/>
        </w:rPr>
        <w:t xml:space="preserve"> T. M. D. D. </w:t>
      </w:r>
      <w:r>
        <w:rPr>
          <w:i/>
          <w:iCs/>
          <w:color w:val="000000"/>
          <w:spacing w:val="0"/>
          <w:w w:val="100"/>
          <w:position w:val="0"/>
          <w:shd w:val="clear" w:color="auto" w:fill="auto"/>
          <w:lang w:val="la-001" w:eastAsia="la-001" w:bidi="la-001"/>
        </w:rPr>
        <w:t>terminum dedicavit;</w:t>
      </w:r>
      <w:r>
        <w:rPr>
          <w:color w:val="000000"/>
          <w:spacing w:val="0"/>
          <w:w w:val="100"/>
          <w:position w:val="0"/>
          <w:shd w:val="clear" w:color="auto" w:fill="auto"/>
          <w:lang w:val="la-001" w:eastAsia="la-001" w:bidi="la-001"/>
        </w:rPr>
        <w:t xml:space="preserve"> Tr. </w:t>
      </w:r>
      <w:r>
        <w:rPr>
          <w:i/>
          <w:iCs/>
          <w:color w:val="000000"/>
          <w:spacing w:val="0"/>
          <w:w w:val="100"/>
          <w:position w:val="0"/>
          <w:shd w:val="clear" w:color="auto" w:fill="auto"/>
          <w:lang w:val="la-001" w:eastAsia="la-001" w:bidi="la-001"/>
        </w:rPr>
        <w:t>trans, tribunus;</w:t>
      </w:r>
      <w:r>
        <w:rPr>
          <w:color w:val="000000"/>
          <w:spacing w:val="0"/>
          <w:w w:val="100"/>
          <w:position w:val="0"/>
          <w:shd w:val="clear" w:color="auto" w:fill="auto"/>
          <w:lang w:val="la-001" w:eastAsia="la-001" w:bidi="la-001"/>
        </w:rPr>
        <w:t xml:space="preserve"> Tr. M. </w:t>
      </w:r>
      <w:r>
        <w:rPr>
          <w:color w:val="000000"/>
          <w:spacing w:val="0"/>
          <w:w w:val="100"/>
          <w:position w:val="0"/>
          <w:shd w:val="clear" w:color="auto" w:fill="auto"/>
          <w:lang w:val="en-US" w:eastAsia="en-US" w:bidi="en-US"/>
        </w:rPr>
        <w:t xml:space="preserve">or Mil. </w:t>
      </w:r>
      <w:r>
        <w:rPr>
          <w:i/>
          <w:iCs/>
          <w:color w:val="000000"/>
          <w:spacing w:val="0"/>
          <w:w w:val="100"/>
          <w:position w:val="0"/>
          <w:shd w:val="clear" w:color="auto" w:fill="auto"/>
          <w:lang w:val="la-001" w:eastAsia="la-001" w:bidi="la-001"/>
        </w:rPr>
        <w:t>tribunus militum;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TR. PL. </w:t>
      </w:r>
      <w:r>
        <w:rPr>
          <w:color w:val="000000"/>
          <w:spacing w:val="0"/>
          <w:w w:val="100"/>
          <w:position w:val="0"/>
          <w:shd w:val="clear" w:color="auto" w:fill="auto"/>
          <w:lang w:val="la-001" w:eastAsia="la-001" w:bidi="la-001"/>
        </w:rPr>
        <w:t xml:space="preserve">DES. </w:t>
      </w:r>
      <w:r>
        <w:rPr>
          <w:i/>
          <w:iCs/>
          <w:color w:val="000000"/>
          <w:spacing w:val="0"/>
          <w:w w:val="100"/>
          <w:position w:val="0"/>
          <w:shd w:val="clear" w:color="auto" w:fill="auto"/>
          <w:lang w:val="la-001" w:eastAsia="la-001" w:bidi="la-001"/>
        </w:rPr>
        <w:t>tribunus plebis designatus ;</w:t>
      </w:r>
      <w:r>
        <w:rPr>
          <w:color w:val="000000"/>
          <w:spacing w:val="0"/>
          <w:w w:val="100"/>
          <w:position w:val="0"/>
          <w:shd w:val="clear" w:color="auto" w:fill="auto"/>
          <w:lang w:val="la-001" w:eastAsia="la-001" w:bidi="la-001"/>
        </w:rPr>
        <w:t xml:space="preserve"> TR. AER. </w:t>
      </w:r>
      <w:r>
        <w:rPr>
          <w:i/>
          <w:iCs/>
          <w:color w:val="000000"/>
          <w:spacing w:val="0"/>
          <w:w w:val="100"/>
          <w:position w:val="0"/>
          <w:shd w:val="clear" w:color="auto" w:fill="auto"/>
          <w:lang w:val="la-001" w:eastAsia="la-001" w:bidi="la-001"/>
        </w:rPr>
        <w:t xml:space="preserve">tribunis ararii ; </w:t>
      </w:r>
      <w:r>
        <w:rPr>
          <w:color w:val="000000"/>
          <w:spacing w:val="0"/>
          <w:w w:val="100"/>
          <w:position w:val="0"/>
          <w:shd w:val="clear" w:color="auto" w:fill="auto"/>
          <w:lang w:val="la-001" w:eastAsia="la-001" w:bidi="la-001"/>
        </w:rPr>
        <w:t xml:space="preserve">TRV. </w:t>
      </w:r>
      <w:r>
        <w:rPr>
          <w:color w:val="000000"/>
          <w:spacing w:val="0"/>
          <w:w w:val="100"/>
          <w:position w:val="0"/>
          <w:shd w:val="clear" w:color="auto" w:fill="auto"/>
          <w:lang w:val="en-US" w:eastAsia="en-US" w:bidi="en-US"/>
        </w:rPr>
        <w:t xml:space="preserve">CAP. </w:t>
      </w:r>
      <w:r>
        <w:rPr>
          <w:i/>
          <w:iCs/>
          <w:color w:val="000000"/>
          <w:spacing w:val="0"/>
          <w:w w:val="100"/>
          <w:position w:val="0"/>
          <w:shd w:val="clear" w:color="auto" w:fill="auto"/>
          <w:lang w:val="la-001" w:eastAsia="la-001" w:bidi="la-001"/>
        </w:rPr>
        <w:t>triumviri capitales;</w:t>
      </w:r>
      <w:r>
        <w:rPr>
          <w:color w:val="000000"/>
          <w:spacing w:val="0"/>
          <w:w w:val="100"/>
          <w:position w:val="0"/>
          <w:shd w:val="clear" w:color="auto" w:fill="auto"/>
          <w:lang w:val="la-001" w:eastAsia="la-001" w:bidi="la-001"/>
        </w:rPr>
        <w:t xml:space="preserve"> T. P. </w:t>
      </w:r>
      <w:r>
        <w:rPr>
          <w:color w:val="000000"/>
          <w:spacing w:val="0"/>
          <w:w w:val="100"/>
          <w:position w:val="0"/>
          <w:shd w:val="clear" w:color="auto" w:fill="auto"/>
          <w:lang w:val="en-US" w:eastAsia="en-US" w:bidi="en-US"/>
        </w:rPr>
        <w:t xml:space="preserve">or TRIB. </w:t>
      </w:r>
      <w:r>
        <w:rPr>
          <w:color w:val="000000"/>
          <w:spacing w:val="0"/>
          <w:w w:val="100"/>
          <w:position w:val="0"/>
          <w:shd w:val="clear" w:color="auto" w:fill="auto"/>
          <w:lang w:val="la-001" w:eastAsia="la-001" w:bidi="la-001"/>
        </w:rPr>
        <w:t xml:space="preserve">POT. </w:t>
      </w:r>
      <w:r>
        <w:rPr>
          <w:i/>
          <w:iCs/>
          <w:color w:val="000000"/>
          <w:spacing w:val="0"/>
          <w:w w:val="100"/>
          <w:position w:val="0"/>
          <w:shd w:val="clear" w:color="auto" w:fill="auto"/>
          <w:lang w:val="la-001" w:eastAsia="la-001" w:bidi="la-001"/>
        </w:rPr>
        <w:t>tribunicia potestate ;</w:t>
      </w:r>
      <w:r>
        <w:rPr>
          <w:color w:val="000000"/>
          <w:spacing w:val="0"/>
          <w:w w:val="100"/>
          <w:position w:val="0"/>
          <w:shd w:val="clear" w:color="auto" w:fill="auto"/>
          <w:lang w:val="la-001" w:eastAsia="la-001" w:bidi="la-001"/>
        </w:rPr>
        <w:t xml:space="preserve"> Tul. H. </w:t>
      </w:r>
      <w:r>
        <w:rPr>
          <w:i/>
          <w:iCs/>
          <w:color w:val="000000"/>
          <w:spacing w:val="0"/>
          <w:w w:val="100"/>
          <w:position w:val="0"/>
          <w:shd w:val="clear" w:color="auto" w:fill="auto"/>
          <w:lang w:val="la-001" w:eastAsia="la-001" w:bidi="la-001"/>
        </w:rPr>
        <w:t>Tullus Hostilius.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Among the ancients, </w:t>
      </w:r>
      <w:r>
        <w:rPr>
          <w:color w:val="000000"/>
          <w:spacing w:val="0"/>
          <w:w w:val="100"/>
          <w:position w:val="0"/>
          <w:shd w:val="clear" w:color="auto" w:fill="auto"/>
          <w:lang w:val="la-001" w:eastAsia="la-001" w:bidi="la-001"/>
        </w:rPr>
        <w:t xml:space="preserve">T, </w:t>
      </w:r>
      <w:r>
        <w:rPr>
          <w:color w:val="000000"/>
          <w:spacing w:val="0"/>
          <w:w w:val="100"/>
          <w:position w:val="0"/>
          <w:shd w:val="clear" w:color="auto" w:fill="auto"/>
          <w:lang w:val="en-US" w:eastAsia="en-US" w:bidi="en-US"/>
        </w:rPr>
        <w:t xml:space="preserve">as a numeral, stood for </w:t>
      </w:r>
      <w:r>
        <w:rPr>
          <w:i/>
          <w:iCs/>
          <w:color w:val="000000"/>
          <w:spacing w:val="0"/>
          <w:w w:val="100"/>
          <w:position w:val="0"/>
          <w:shd w:val="clear" w:color="auto" w:fill="auto"/>
          <w:lang w:val="en-US" w:eastAsia="en-US" w:bidi="en-US"/>
        </w:rPr>
        <w:t>one hundred and sixty ;</w:t>
      </w:r>
      <w:r>
        <w:rPr>
          <w:color w:val="000000"/>
          <w:spacing w:val="0"/>
          <w:w w:val="100"/>
          <w:position w:val="0"/>
          <w:shd w:val="clear" w:color="auto" w:fill="auto"/>
          <w:lang w:val="en-US" w:eastAsia="en-US" w:bidi="en-US"/>
        </w:rPr>
        <w:t xml:space="preserve"> and with a dash at top, thus T , it signified </w:t>
      </w:r>
      <w:r>
        <w:rPr>
          <w:i/>
          <w:iCs/>
          <w:color w:val="000000"/>
          <w:spacing w:val="0"/>
          <w:w w:val="100"/>
          <w:position w:val="0"/>
          <w:shd w:val="clear" w:color="auto" w:fill="auto"/>
          <w:lang w:val="en-US" w:eastAsia="en-US" w:bidi="en-US"/>
        </w:rPr>
        <w:t>one hun</w:t>
        <w:softHyphen/>
        <w:t>dred and sixty thousand.</w:t>
      </w:r>
      <w:r>
        <w:rPr>
          <w:color w:val="000000"/>
          <w:spacing w:val="0"/>
          <w:w w:val="100"/>
          <w:position w:val="0"/>
          <w:shd w:val="clear" w:color="auto" w:fill="auto"/>
          <w:lang w:val="en-US" w:eastAsia="en-US" w:bidi="en-US"/>
        </w:rPr>
        <w:t xml:space="preserve"> In music, T stands for </w:t>
      </w:r>
      <w:r>
        <w:rPr>
          <w:i/>
          <w:iCs/>
          <w:color w:val="000000"/>
          <w:spacing w:val="0"/>
          <w:w w:val="100"/>
          <w:position w:val="0"/>
          <w:shd w:val="clear" w:color="auto" w:fill="auto"/>
          <w:lang w:val="fr-FR" w:eastAsia="fr-FR" w:bidi="fr-FR"/>
        </w:rPr>
        <w:t xml:space="preserve">tutti, </w:t>
      </w:r>
      <w:r>
        <w:rPr>
          <w:color w:val="000000"/>
          <w:spacing w:val="0"/>
          <w:w w:val="100"/>
          <w:position w:val="0"/>
          <w:shd w:val="clear" w:color="auto" w:fill="auto"/>
          <w:lang w:val="en-US" w:eastAsia="en-US" w:bidi="en-US"/>
        </w:rPr>
        <w:t>“ all, or altogether.”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 a city and fortress of China, of the second rank, in Sechuen. Long. 107. 15. E. Lat. 36. 55. N. Also the name of a river which falls into the Eastern Seas. Long. 121. 34. E. Lat 36. 55.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TAAWIRY. There are two islands of this name, situ</w:t>
        <w:softHyphen/>
        <w:t>ated within the reef of the island of Otaheite.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TAB, a river of Persia, the ancient Arosis, which, rising in the mountains of Fars, divides that province from Khusistan, and falls into the Persian Gulf near Endian.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l-GR" w:eastAsia="el-GR" w:bidi="el-GR"/>
        </w:rPr>
        <w:t xml:space="preserve">ΤΑΒΑ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four small islands in the Eastern Seas, near the east coast of Borneo. Long. 118. 12. E. Lat. 2. 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TABABELLA, a town of Hindustan, in the province of Malwah, thirty-two miles west from Oojain. Long. 75. 20. E. Lat. 23. 16.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TABAS, </w:t>
      </w:r>
      <w:r>
        <w:rPr>
          <w:color w:val="000000"/>
          <w:spacing w:val="0"/>
          <w:w w:val="100"/>
          <w:position w:val="0"/>
          <w:shd w:val="clear" w:color="auto" w:fill="auto"/>
          <w:lang w:val="en-US" w:eastAsia="en-US" w:bidi="en-US"/>
        </w:rPr>
        <w:t xml:space="preserve">a city of Persia, in the province of Khorassan. </w:t>
      </w:r>
      <w:r>
        <w:rPr>
          <w:color w:val="000000"/>
          <w:spacing w:val="0"/>
          <w:w w:val="100"/>
          <w:position w:val="0"/>
          <w:shd w:val="clear" w:color="auto" w:fill="auto"/>
          <w:lang w:val="en-US" w:eastAsia="en-US" w:bidi="en-US"/>
        </w:rPr>
        <w:t>It is situated on the road from Herat to Yezd, 337 miles from the former, and 150 from the latter. It stands with</w:t>
        <w:softHyphen/>
        <w:t xml:space="preserve">in a range of mountains, and contains 20,000 inhabitants. </w:t>
      </w:r>
      <w:r>
        <w:rPr>
          <w:color w:val="000000"/>
          <w:spacing w:val="0"/>
          <w:w w:val="100"/>
          <w:position w:val="0"/>
          <w:shd w:val="clear" w:color="auto" w:fill="auto"/>
          <w:lang w:val="la-001" w:eastAsia="la-001" w:bidi="la-001"/>
        </w:rPr>
        <w:t xml:space="preserve">Tabas </w:t>
      </w:r>
      <w:r>
        <w:rPr>
          <w:color w:val="000000"/>
          <w:spacing w:val="0"/>
          <w:w w:val="100"/>
          <w:position w:val="0"/>
          <w:shd w:val="clear" w:color="auto" w:fill="auto"/>
          <w:lang w:val="en-US" w:eastAsia="en-US" w:bidi="en-US"/>
        </w:rPr>
        <w:t>is also the name of a village in Anatolia.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TABBY, in </w:t>
      </w: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 xml:space="preserve"> a kind of rich silk which has undergone the operation of tabbying.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TABBYING, the passing a silk or stuff under a ca</w:t>
        <w:softHyphen/>
        <w:t>lender, the rolls of which are made of iron or copper vari</w:t>
        <w:softHyphen/>
        <w:t>ously engraven, which bearing unequally on the stuff, ren</w:t>
        <w:softHyphen/>
        <w:t>ders the surface of it unequal, so as to reflect the rays of light differently, and to exhibit a representation of waves.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TABELLIO, </w:t>
      </w:r>
      <w:r>
        <w:rPr>
          <w:color w:val="000000"/>
          <w:spacing w:val="0"/>
          <w:w w:val="100"/>
          <w:position w:val="0"/>
          <w:shd w:val="clear" w:color="auto" w:fill="auto"/>
          <w:lang w:val="en-US" w:eastAsia="en-US" w:bidi="en-US"/>
        </w:rPr>
        <w:t xml:space="preserve">in the Roman law, an officer or scrivener, much the same with our notaries public, who are often called </w:t>
      </w:r>
      <w:r>
        <w:rPr>
          <w:i/>
          <w:iCs/>
          <w:color w:val="000000"/>
          <w:spacing w:val="0"/>
          <w:w w:val="100"/>
          <w:position w:val="0"/>
          <w:shd w:val="clear" w:color="auto" w:fill="auto"/>
          <w:lang w:val="la-001" w:eastAsia="la-001" w:bidi="la-001"/>
        </w:rPr>
        <w:t>tabelliones.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TABERNA, </w:t>
      </w:r>
      <w:r>
        <w:rPr>
          <w:color w:val="000000"/>
          <w:spacing w:val="0"/>
          <w:w w:val="100"/>
          <w:position w:val="0"/>
          <w:shd w:val="clear" w:color="auto" w:fill="auto"/>
          <w:lang w:val="en-US" w:eastAsia="en-US" w:bidi="en-US"/>
        </w:rPr>
        <w:t>a city of Spain, in the province of Valen</w:t>
        <w:softHyphen/>
        <w:t>cia, about six miles north-east from the capital, on the great road leading to Catalonia. It is on the sea-shore, in a district of great richness and fertility, and contains about 4500 inhabitants.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TABERNACLE, among the Hebrews, a kind of build</w:t>
        <w:softHyphen/>
        <w:t>ing, in the form of a tent, set up, by express command of God, for the performance of religious worship, sacrifices, &amp;c. during the journeying of the Israelites in the wilder</w:t>
        <w:softHyphen/>
        <w:t>ness ; and, after their settlement in the land of Canaan, used for the same purpose till the building of the temple of Je</w:t>
        <w:softHyphen/>
        <w:t xml:space="preserve">rusalem. It was divided into two parts ; the one covered, and properly called the </w:t>
      </w:r>
      <w:r>
        <w:rPr>
          <w:i/>
          <w:iCs/>
          <w:color w:val="000000"/>
          <w:spacing w:val="0"/>
          <w:w w:val="100"/>
          <w:position w:val="0"/>
          <w:shd w:val="clear" w:color="auto" w:fill="auto"/>
          <w:lang w:val="en-US" w:eastAsia="en-US" w:bidi="en-US"/>
        </w:rPr>
        <w:t>tabernacle ;</w:t>
      </w:r>
      <w:r>
        <w:rPr>
          <w:color w:val="000000"/>
          <w:spacing w:val="0"/>
          <w:w w:val="100"/>
          <w:position w:val="0"/>
          <w:shd w:val="clear" w:color="auto" w:fill="auto"/>
          <w:lang w:val="en-US" w:eastAsia="en-US" w:bidi="en-US"/>
        </w:rPr>
        <w:t xml:space="preserve"> and the other open, called the </w:t>
      </w:r>
      <w:r>
        <w:rPr>
          <w:i/>
          <w:iCs/>
          <w:color w:val="000000"/>
          <w:spacing w:val="0"/>
          <w:w w:val="100"/>
          <w:position w:val="0"/>
          <w:shd w:val="clear" w:color="auto" w:fill="auto"/>
          <w:lang w:val="en-US" w:eastAsia="en-US" w:bidi="en-US"/>
        </w:rPr>
        <w:t>court.</w:t>
      </w:r>
      <w:r>
        <w:rPr>
          <w:color w:val="000000"/>
          <w:spacing w:val="0"/>
          <w:w w:val="100"/>
          <w:position w:val="0"/>
          <w:shd w:val="clear" w:color="auto" w:fill="auto"/>
          <w:lang w:val="en-US" w:eastAsia="en-US" w:bidi="en-US"/>
        </w:rPr>
        <w:t xml:space="preserve"> The curtains which covered the taber</w:t>
        <w:softHyphen/>
        <w:t>nacle were made of embroidered linen, of several colours. There were ten curtains, twenty-eight cubits long and four in breadth. Five curtains fastened together composed two coverings, which covered up all the tabernacle. Over these there were other two coverings ; the one of goats’ hair, the other of sheeps’ skins. The holy of holies was parted from the rest of the tabernacle by a curtain fasten</w:t>
        <w:softHyphen/>
        <w:t>ed to four pillars, standing ten cubits from the end. The length of the whole tabernacle was thirty-two cubits, that is, about fifty feet ; and the breadth twelve cubits or nine</w:t>
        <w:softHyphen/>
        <w:t>teen feet. The court was a spot of ground 100 cubits long, and fifty in breadth, enclosed by twenty columns, each twenty cubits high and ten in breadth, covered with silver, and standing on copper bases five cubits distant from one another ; between which there were curtains drawn, and fastened with hooks. At the east end was an entrance, twenty cubits wide, covered with a curtain hanging loose.</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Tabernacles, Feast of,</w:t>
      </w:r>
      <w:r>
        <w:rPr>
          <w:color w:val="000000"/>
          <w:spacing w:val="0"/>
          <w:w w:val="100"/>
          <w:position w:val="0"/>
          <w:shd w:val="clear" w:color="auto" w:fill="auto"/>
          <w:lang w:val="en-US" w:eastAsia="en-US" w:bidi="en-US"/>
        </w:rPr>
        <w:t xml:space="preserve"> a solemn festival of the He</w:t>
        <w:softHyphen/>
        <w:t>brews, observed after harvest, on the fifteenth day of the month Tisri, instituted to commemorate the goodness of</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