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TABLE II.</w:t>
      </w:r>
    </w:p>
    <w:p>
      <w:pPr>
        <w:pStyle w:val="Style3"/>
        <w:keepNext w:val="0"/>
        <w:keepLines w:val="0"/>
        <w:widowControl w:val="0"/>
        <w:shd w:val="clear" w:color="auto" w:fill="auto"/>
        <w:bidi w:val="0"/>
        <w:spacing w:line="233" w:lineRule="auto"/>
        <w:ind w:left="0" w:firstLine="0"/>
        <w:jc w:val="left"/>
      </w:pPr>
      <w:r>
        <w:rPr>
          <w:i/>
          <w:iCs/>
          <w:color w:val="000000"/>
          <w:spacing w:val="0"/>
          <w:w w:val="100"/>
          <w:position w:val="0"/>
          <w:shd w:val="clear" w:color="auto" w:fill="auto"/>
          <w:lang w:val="en-US" w:eastAsia="en-US" w:bidi="en-US"/>
        </w:rPr>
        <w:t>Mean Results of Experiments on the Elasticity and Strength of Timber, selected from Her Majesty’s Dock-yard at Woolwich. Made by Professor Barlow.</w:t>
      </w:r>
    </w:p>
    <w:tbl>
      <w:tblPr>
        <w:tblOverlap w:val="never"/>
        <w:jc w:val="left"/>
        <w:tblLayout w:type="fixed"/>
      </w:tblPr>
      <w:tblGrid>
        <w:gridCol w:w="4001"/>
        <w:gridCol w:w="319"/>
        <w:gridCol w:w="462"/>
        <w:gridCol w:w="480"/>
        <w:gridCol w:w="449"/>
        <w:gridCol w:w="471"/>
        <w:gridCol w:w="471"/>
        <w:gridCol w:w="534"/>
        <w:gridCol w:w="682"/>
        <w:gridCol w:w="435"/>
      </w:tblGrid>
      <w:tr>
        <w:trPr>
          <w:trHeight w:val="314"/>
        </w:trPr>
        <w:tc>
          <w:tcPr>
            <w:gridSpan w:val="3"/>
            <w:tcBorders>
              <w:top w:val="single" w:sz="4"/>
              <w:left w:val="single" w:sz="4"/>
            </w:tcBorders>
            <w:shd w:val="clear" w:color="auto" w:fill="FFFFFF"/>
            <w:textDirection w:val="btLr"/>
            <w:vAlign w:val="bottom"/>
          </w:tcPr>
          <w:p>
            <w:pPr>
              <w:pStyle w:val="Style6"/>
              <w:keepNext w:val="0"/>
              <w:keepLines w:val="0"/>
              <w:widowControl w:val="0"/>
              <w:shd w:val="clear" w:color="auto" w:fill="auto"/>
              <w:bidi w:val="0"/>
              <w:spacing w:line="221"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gridSpan w:val="3"/>
            <w:tcBorders>
              <w:top w:val="single" w:sz="4"/>
              <w:left w:val="single" w:sz="4"/>
            </w:tcBorders>
            <w:shd w:val="clear" w:color="auto" w:fill="FFFFFF"/>
            <w:vAlign w:val="bottom"/>
          </w:tcPr>
          <w:p>
            <w:pPr>
              <w:widowControl w:val="0"/>
              <w:rPr>
                <w:sz w:val="10"/>
                <w:szCs w:val="10"/>
              </w:rPr>
            </w:pPr>
          </w:p>
        </w:tc>
        <w:tc>
          <w:tcPr>
            <w:tcBorders>
              <w:top w:val="single" w:sz="4"/>
              <w:left w:val="single" w:sz="4"/>
            </w:tcBorders>
            <w:shd w:val="clear" w:color="auto" w:fill="FFFFFF"/>
            <w:vAlign w:val="bottom"/>
          </w:tcPr>
          <w:p>
            <w:pPr>
              <w:widowControl w:val="0"/>
              <w:rPr>
                <w:sz w:val="10"/>
                <w:szCs w:val="10"/>
              </w:rPr>
            </w:pPr>
          </w:p>
        </w:tc>
        <w:tc>
          <w:tcPr>
            <w:tcBorders>
              <w:top w:val="single" w:sz="4"/>
              <w:left w:val="single" w:sz="4"/>
            </w:tcBorders>
            <w:shd w:val="clear" w:color="auto" w:fill="FFFFFF"/>
            <w:vAlign w:val="bottom"/>
          </w:tcPr>
          <w:p>
            <w:pPr>
              <w:widowControl w:val="0"/>
              <w:rPr>
                <w:sz w:val="10"/>
                <w:szCs w:val="10"/>
              </w:rPr>
            </w:pPr>
          </w:p>
        </w:tc>
        <w:tc>
          <w:tcPr>
            <w:tcBorders>
              <w:top w:val="single" w:sz="4"/>
              <w:left w:val="single" w:sz="4"/>
            </w:tcBorders>
            <w:shd w:val="clear" w:color="auto" w:fill="FFFFFF"/>
            <w:vAlign w:val="bottom"/>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Value of S from the Formula S = </w:t>
            </w:r>
            <w:r>
              <w:rPr>
                <w:rFonts w:ascii="Times New Roman" w:eastAsia="Times New Roman" w:hAnsi="Times New Roman" w:cs="Times New Roman"/>
                <w:b/>
                <w:bCs/>
                <w:color w:val="000000"/>
                <w:spacing w:val="0"/>
                <w:w w:val="100"/>
                <w:position w:val="0"/>
                <w:sz w:val="13"/>
                <w:szCs w:val="13"/>
                <w:shd w:val="clear" w:color="auto" w:fill="auto"/>
                <w:vertAlign w:val="superscript"/>
                <w:lang w:val="en-US" w:eastAsia="en-US" w:bidi="en-US"/>
              </w:rPr>
              <w:t>lW</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w:t>
            </w:r>
            <w:r>
              <w:rPr>
                <w:rFonts w:ascii="Times New Roman" w:eastAsia="Times New Roman" w:hAnsi="Times New Roman" w:cs="Times New Roman"/>
                <w:b/>
                <w:bCs/>
                <w:color w:val="000000"/>
                <w:spacing w:val="0"/>
                <w:w w:val="100"/>
                <w:position w:val="0"/>
                <w:sz w:val="13"/>
                <w:szCs w:val="13"/>
                <w:shd w:val="clear" w:color="auto" w:fill="auto"/>
                <w:vertAlign w:val="subscript"/>
                <w:lang w:val="en-US" w:eastAsia="en-US" w:bidi="en-US"/>
              </w:rPr>
              <w:t>4ad3</w:t>
            </w:r>
            <w:r>
              <w:rPr>
                <w:rStyle w:val="CharStyle4"/>
              </w:rPr>
              <w:t>. ***</w:t>
            </w:r>
          </w:p>
          <w:p>
            <w:pPr>
              <w:widowControl w:val="0"/>
              <w:rPr>
                <w:sz w:val="10"/>
                <w:szCs w:val="10"/>
              </w:rPr>
            </w:pPr>
          </w:p>
        </w:tc>
      </w:tr>
      <w:tr>
        <w:trPr>
          <w:trHeight w:val="799"/>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Names of the Woods, and Dimensions of the Specimens.</w:t>
            </w:r>
          </w:p>
        </w:tc>
        <w:tc>
          <w:tcPr>
            <w:vMerge w:val="restart"/>
            <w:tcBorders>
              <w:left w:val="single" w:sz="4"/>
            </w:tcBorders>
            <w:shd w:val="clear" w:color="auto" w:fill="FFFFFF"/>
            <w:textDirection w:val="btLr"/>
            <w:vAlign w:val="bottom"/>
          </w:tcPr>
          <w:p>
            <w:pPr>
              <w:pStyle w:val="Style6"/>
              <w:keepNext w:val="0"/>
              <w:keepLines w:val="0"/>
              <w:widowControl w:val="0"/>
              <w:shd w:val="clear" w:color="auto" w:fill="auto"/>
              <w:bidi w:val="0"/>
              <w:spacing w:line="197"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Number of Experiments of which the Mean Results are given.</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65" w:lineRule="exact"/>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Specific Gravity.</w:t>
            </w:r>
          </w:p>
        </w:tc>
        <w:tc>
          <w:tcPr>
            <w:gridSpan w:val="2"/>
            <w:tcBorders>
              <w:left w:val="single" w:sz="4"/>
            </w:tcBorders>
            <w:shd w:val="clear" w:color="auto" w:fill="FFFFFF"/>
            <w:vAlign w:val="top"/>
          </w:tcPr>
          <w:p>
            <w:pPr>
              <w:pStyle w:val="Style6"/>
              <w:keepNext w:val="0"/>
              <w:keepLines w:val="0"/>
              <w:widowControl w:val="0"/>
              <w:shd w:val="clear" w:color="auto" w:fill="auto"/>
              <w:bidi w:val="0"/>
              <w:spacing w:line="202"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Greatest Weight and Deflection while the Elasti</w:t>
              <w:softHyphen/>
              <w:t>city remained perfect.</w:t>
            </w:r>
          </w:p>
        </w:tc>
        <w:tc>
          <w:tcPr>
            <w:vMerge w:val="restart"/>
            <w:tcBorders>
              <w:left w:val="single" w:sz="4"/>
            </w:tcBorders>
            <w:shd w:val="clear" w:color="auto" w:fill="FFFFFF"/>
            <w:textDirection w:val="btLr"/>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Breaking Weight in Pounds.</w:t>
            </w:r>
          </w:p>
        </w:tc>
        <w:tc>
          <w:tcPr>
            <w:vMerge w:val="restart"/>
            <w:tcBorders>
              <w:left w:val="single" w:sz="4"/>
            </w:tcBorders>
            <w:shd w:val="clear" w:color="auto" w:fill="FFFFFF"/>
            <w:textDirection w:val="btLr"/>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Ultimate Deflection in Ιnches.</w:t>
            </w:r>
          </w:p>
        </w:tc>
        <w:tc>
          <w:tcPr>
            <w:vMerge w:val="restart"/>
            <w:tcBorders>
              <w:left w:val="single" w:sz="4"/>
            </w:tcBorders>
            <w:shd w:val="clear" w:color="auto" w:fill="FFFFFF"/>
            <w:textDirection w:val="btLr"/>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Value of </w:t>
            </w:r>
            <w:r>
              <w:rPr>
                <w:rFonts w:ascii="Times New Roman" w:eastAsia="Times New Roman" w:hAnsi="Times New Roman" w:cs="Times New Roman"/>
                <w:b/>
                <w:bCs/>
                <w:i/>
                <w:iCs/>
                <w:color w:val="000000"/>
                <w:spacing w:val="0"/>
                <w:w w:val="100"/>
                <w:position w:val="0"/>
                <w:sz w:val="13"/>
                <w:szCs w:val="13"/>
                <w:shd w:val="clear" w:color="auto" w:fill="auto"/>
                <w:lang w:val="en-US" w:eastAsia="en-US" w:bidi="en-US"/>
              </w:rPr>
              <w:t>u</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 from the Formula U = </w:t>
            </w:r>
            <w:r>
              <w:rPr>
                <w:rFonts w:ascii="Times New Roman" w:eastAsia="Times New Roman" w:hAnsi="Times New Roman" w:cs="Times New Roman"/>
                <w:b/>
                <w:bCs/>
                <w:color w:val="000000"/>
                <w:spacing w:val="0"/>
                <w:w w:val="100"/>
                <w:position w:val="0"/>
                <w:sz w:val="13"/>
                <w:szCs w:val="13"/>
                <w:shd w:val="clear" w:color="auto" w:fill="auto"/>
                <w:vertAlign w:val="superscript"/>
                <w:lang w:val="en-US" w:eastAsia="en-US" w:bidi="en-US"/>
              </w:rPr>
              <w:t>l^3</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w:t>
            </w:r>
            <w:r>
              <w:rPr>
                <w:rFonts w:ascii="Times New Roman" w:eastAsia="Times New Roman" w:hAnsi="Times New Roman" w:cs="Times New Roman"/>
                <w:b/>
                <w:bCs/>
                <w:color w:val="000000"/>
                <w:spacing w:val="0"/>
                <w:w w:val="100"/>
                <w:position w:val="0"/>
                <w:sz w:val="13"/>
                <w:szCs w:val="13"/>
                <w:shd w:val="clear" w:color="auto" w:fill="auto"/>
                <w:vertAlign w:val="subscript"/>
                <w:lang w:val="en-US" w:eastAsia="en-US" w:bidi="en-US"/>
              </w:rPr>
              <w:t>d</w:t>
            </w:r>
            <w:r>
              <w:rPr>
                <w:rStyle w:val="CharStyle4"/>
                <w:vertAlign w:val="subscript"/>
              </w:rPr>
              <w:t>Δ</w:t>
            </w:r>
            <w:r>
              <w:rPr>
                <w:rStyle w:val="CharStyle4"/>
              </w:rPr>
              <w:t>. ***</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Value of E from the Formula E = </w:t>
            </w:r>
            <w:r>
              <w:rPr>
                <w:rFonts w:ascii="Times New Roman" w:eastAsia="Times New Roman" w:hAnsi="Times New Roman" w:cs="Times New Roman"/>
                <w:b/>
                <w:bCs/>
                <w:color w:val="000000"/>
                <w:spacing w:val="0"/>
                <w:w w:val="100"/>
                <w:position w:val="0"/>
                <w:sz w:val="13"/>
                <w:szCs w:val="13"/>
                <w:shd w:val="clear" w:color="auto" w:fill="auto"/>
                <w:vertAlign w:val="superscript"/>
                <w:lang w:val="en-US" w:eastAsia="en-US" w:bidi="en-US"/>
              </w:rPr>
              <w:t>l^3W</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w:t>
            </w:r>
            <w:r>
              <w:rPr>
                <w:rFonts w:ascii="Times New Roman" w:eastAsia="Times New Roman" w:hAnsi="Times New Roman" w:cs="Times New Roman"/>
                <w:b/>
                <w:bCs/>
                <w:color w:val="000000"/>
                <w:spacing w:val="0"/>
                <w:w w:val="100"/>
                <w:position w:val="0"/>
                <w:sz w:val="13"/>
                <w:szCs w:val="13"/>
                <w:shd w:val="clear" w:color="auto" w:fill="auto"/>
                <w:vertAlign w:val="subscript"/>
                <w:lang w:val="en-US" w:eastAsia="en-US" w:bidi="en-US"/>
              </w:rPr>
              <w:t>ad3</w:t>
            </w:r>
            <w:r>
              <w:rPr>
                <w:b/>
                <w:bCs/>
                <w:color w:val="000000"/>
                <w:spacing w:val="0"/>
                <w:w w:val="100"/>
                <w:position w:val="0"/>
                <w:sz w:val="13"/>
                <w:szCs w:val="13"/>
                <w:shd w:val="clear" w:color="auto" w:fill="auto"/>
                <w:vertAlign w:val="subscript"/>
                <w:lang w:val="en-US" w:eastAsia="en-US" w:bidi="en-US"/>
              </w:rPr>
              <w:t>δ</w:t>
            </w:r>
            <w:r>
              <w:rPr>
                <w:rStyle w:val="CharStyle4"/>
              </w:rPr>
              <w:t>. ***</w:t>
            </w:r>
          </w:p>
          <w:p>
            <w:pPr>
              <w:widowControl w:val="0"/>
              <w:rPr>
                <w:sz w:val="10"/>
                <w:szCs w:val="10"/>
              </w:rPr>
            </w:pPr>
          </w:p>
        </w:tc>
        <w:tc>
          <w:tcPr>
            <w:vMerge/>
            <w:tcBorders>
              <w:left w:val="single" w:sz="4"/>
              <w:right w:val="single" w:sz="4"/>
            </w:tcBorders>
            <w:shd w:val="clear" w:color="auto" w:fill="FFFFFF"/>
            <w:vAlign w:val="center"/>
          </w:tcPr>
          <w:p>
            <w:pPr/>
          </w:p>
        </w:tc>
      </w:tr>
      <w:tr>
        <w:trPr>
          <w:trHeight w:val="700"/>
        </w:trPr>
        <w:tc>
          <w:tcPr>
            <w:vMerge/>
            <w:tcBorders>
              <w:left w:val="single" w:sz="4"/>
            </w:tcBorders>
            <w:shd w:val="clear" w:color="auto" w:fill="FFFFFF"/>
            <w:vAlign w:val="center"/>
          </w:tcPr>
          <w:p>
            <w:pPr/>
          </w:p>
        </w:tc>
        <w:tc>
          <w:tcPr>
            <w:vMerge/>
            <w:tcBorders>
              <w:left w:val="single" w:sz="4"/>
            </w:tcBorders>
            <w:shd w:val="clear" w:color="auto" w:fill="FFFFFF"/>
            <w:textDirection w:val="btLr"/>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02"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Weight in Pounds.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7"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Deflec</w:t>
              <w:softHyphen/>
              <w:t>tion in Inches.</w:t>
            </w:r>
          </w:p>
        </w:tc>
        <w:tc>
          <w:tcPr>
            <w:vMerge/>
            <w:tcBorders>
              <w:left w:val="single" w:sz="4"/>
            </w:tcBorders>
            <w:shd w:val="clear" w:color="auto" w:fill="FFFFFF"/>
            <w:textDirection w:val="btLr"/>
            <w:vAlign w:val="bottom"/>
          </w:tcPr>
          <w:p>
            <w:pPr/>
          </w:p>
        </w:tc>
        <w:tc>
          <w:tcPr>
            <w:vMerge/>
            <w:tcBorders>
              <w:left w:val="single" w:sz="4"/>
            </w:tcBorders>
            <w:shd w:val="clear" w:color="auto" w:fill="FFFFFF"/>
            <w:textDirection w:val="btLr"/>
            <w:vAlign w:val="bottom"/>
          </w:tcPr>
          <w:p>
            <w:pPr/>
          </w:p>
        </w:tc>
        <w:tc>
          <w:tcPr>
            <w:vMerge/>
            <w:tcBorders>
              <w:left w:val="single" w:sz="4"/>
            </w:tcBorders>
            <w:shd w:val="clear" w:color="auto" w:fill="FFFFFF"/>
            <w:textDirection w:val="btLr"/>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65"/>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i/>
                <w:iCs/>
                <w:color w:val="000000"/>
                <w:spacing w:val="0"/>
                <w:w w:val="100"/>
                <w:position w:val="0"/>
                <w:sz w:val="13"/>
                <w:szCs w:val="13"/>
                <w:shd w:val="clear" w:color="auto" w:fill="auto"/>
                <w:lang w:val="en-US" w:eastAsia="en-US" w:bidi="en-US"/>
              </w:rPr>
              <w:t>In specimens eight feet in length, two inches square, and seven feet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18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i/>
                <w:iCs/>
                <w:color w:val="000000"/>
                <w:spacing w:val="0"/>
                <w:w w:val="100"/>
                <w:position w:val="0"/>
                <w:sz w:val="13"/>
                <w:szCs w:val="13"/>
                <w:shd w:val="clear" w:color="auto" w:fill="auto"/>
                <w:lang w:val="en-US" w:eastAsia="en-US" w:bidi="en-US"/>
              </w:rPr>
              <w:t>between the supports.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7"/>
        </w:trPr>
        <w:tc>
          <w:tcPr>
            <w:tcBorders>
              <w:left w:val="single" w:sz="4"/>
            </w:tcBorders>
            <w:shd w:val="clear" w:color="auto" w:fill="FFFFFF"/>
            <w:vAlign w:val="bottom"/>
          </w:tcPr>
          <w:p>
            <w:pPr>
              <w:pStyle w:val="Style6"/>
              <w:keepNext w:val="0"/>
              <w:keepLines w:val="0"/>
              <w:widowControl w:val="0"/>
              <w:shd w:val="clear" w:color="auto" w:fill="auto"/>
              <w:tabs>
                <w:tab w:leader="dot" w:pos="1458" w:val="left"/>
                <w:tab w:leader="dot" w:pos="1507" w:val="left"/>
                <w:tab w:leader="dot" w:pos="3015" w:val="left"/>
                <w:tab w:leader="dot" w:pos="3064" w:val="left"/>
                <w:tab w:leader="dot" w:pos="3934"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Teak</w:t>
              <w:tab/>
              <w:tab/>
              <w:tab/>
              <w:tab/>
              <w:tab/>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745</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300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1·151</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938</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4∙32</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818</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9657802</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2462</w:t>
            </w:r>
          </w:p>
        </w:tc>
      </w:tr>
      <w:tr>
        <w:trPr>
          <w:trHeight w:val="72"/>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3921"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Poon</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76"/>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579</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150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·822</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846</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5·92</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596</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6759200</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2221</w:t>
            </w:r>
          </w:p>
        </w:tc>
      </w:tr>
      <w:tr>
        <w:trPr>
          <w:trHeight w:val="63"/>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3930"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English oak</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85"/>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989</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150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1·590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450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5·90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598</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3494730</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1181</w:t>
            </w:r>
          </w:p>
        </w:tc>
      </w:tr>
      <w:tr>
        <w:trPr>
          <w:trHeight w:val="63"/>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3921"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Ditto</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81"/>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934</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200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1·280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637</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8·10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435</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5806200</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1672</w:t>
            </w:r>
          </w:p>
        </w:tc>
      </w:tr>
      <w:tr>
        <w:trPr>
          <w:trHeight w:val="63"/>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3921"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Canadian oak</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85"/>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872</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225</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1·080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673</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6·00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588</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8595864</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1766</w:t>
            </w:r>
          </w:p>
        </w:tc>
      </w:tr>
      <w:tr>
        <w:trPr>
          <w:trHeight w:val="63"/>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3921"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 xml:space="preserve">Dantzig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oak</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85"/>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756</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200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1·590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560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4∙86</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724</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4785750</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1457</w:t>
            </w:r>
          </w:p>
        </w:tc>
      </w:tr>
      <w:tr>
        <w:trPr>
          <w:trHeight w:val="63"/>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3907"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Adriatic oak</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81"/>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w:t>
            </w:r>
          </w:p>
          <w:p>
            <w:pPr>
              <w:pStyle w:val="Style6"/>
              <w:keepNext w:val="0"/>
              <w:keepLines w:val="0"/>
              <w:widowControl w:val="0"/>
              <w:shd w:val="clear" w:color="auto" w:fill="auto"/>
              <w:bidi w:val="0"/>
              <w:spacing w:line="23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993</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760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150</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225</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1·430</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1∙266</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526</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772</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5∙73</w:t>
            </w:r>
          </w:p>
          <w:p>
            <w:pPr>
              <w:pStyle w:val="Style6"/>
              <w:keepNext w:val="0"/>
              <w:keepLines w:val="0"/>
              <w:widowControl w:val="0"/>
              <w:shd w:val="clear" w:color="auto" w:fill="auto"/>
              <w:bidi w:val="0"/>
              <w:spacing w:line="20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8∙92</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610</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395</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3885700</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6580700</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3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1383 2026</w:t>
            </w:r>
          </w:p>
        </w:tc>
      </w:tr>
      <w:tr>
        <w:trPr>
          <w:trHeight w:val="14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916"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Ash</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63"/>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3912"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Beech</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85"/>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696</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553</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150</w:t>
            </w:r>
          </w:p>
          <w:p>
            <w:pPr>
              <w:pStyle w:val="Style6"/>
              <w:keepNext w:val="0"/>
              <w:keepLines w:val="0"/>
              <w:widowControl w:val="0"/>
              <w:shd w:val="clear" w:color="auto" w:fill="auto"/>
              <w:bidi w:val="0"/>
              <w:spacing w:line="23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125</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1·026</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1∙685</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593</w:t>
            </w:r>
          </w:p>
          <w:p>
            <w:pPr>
              <w:pStyle w:val="Style6"/>
              <w:keepNext w:val="0"/>
              <w:keepLines w:val="0"/>
              <w:widowControl w:val="0"/>
              <w:shd w:val="clear" w:color="auto" w:fill="auto"/>
              <w:bidi w:val="0"/>
              <w:spacing w:line="23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386</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5·73</w:t>
            </w:r>
          </w:p>
          <w:p>
            <w:pPr>
              <w:pStyle w:val="Style6"/>
              <w:keepNext w:val="0"/>
              <w:keepLines w:val="0"/>
              <w:widowControl w:val="0"/>
              <w:shd w:val="clear" w:color="auto" w:fill="auto"/>
              <w:bidi w:val="0"/>
              <w:spacing w:line="20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6·93</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615</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509</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5417266</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2799347</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1556</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1013</w:t>
            </w:r>
          </w:p>
        </w:tc>
      </w:tr>
      <w:tr>
        <w:trPr>
          <w:trHeight w:val="144"/>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912"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Elm</w:t>
              <w:tab/>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63"/>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3912"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Pitch-pine</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85"/>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660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150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1·134</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622</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6·00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588</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4900466</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1632</w:t>
            </w:r>
          </w:p>
        </w:tc>
      </w:tr>
      <w:tr>
        <w:trPr>
          <w:trHeight w:val="58"/>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3925"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Red pine</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85"/>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657</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150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·755</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511</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5·83</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605</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7359700</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1341</w:t>
            </w:r>
          </w:p>
        </w:tc>
      </w:tr>
      <w:tr>
        <w:trPr>
          <w:trHeight w:val="63"/>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3925"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New England fir</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85"/>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553</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150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·931</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420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4∙66</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757</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5967400</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1102</w:t>
            </w:r>
          </w:p>
        </w:tc>
      </w:tr>
      <w:tr>
        <w:trPr>
          <w:trHeight w:val="63"/>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3921"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Riga fir</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81"/>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w:t>
            </w:r>
          </w:p>
          <w:p>
            <w:pPr>
              <w:pStyle w:val="Style6"/>
              <w:keepNext w:val="0"/>
              <w:keepLines w:val="0"/>
              <w:widowControl w:val="0"/>
              <w:shd w:val="clear" w:color="auto" w:fill="auto"/>
              <w:bidi w:val="0"/>
              <w:spacing w:line="23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753</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738</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125</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150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·870</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·883</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422</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467</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6·00</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588</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5314570</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3962800</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1108 1051</w:t>
            </w:r>
          </w:p>
        </w:tc>
      </w:tr>
      <w:tr>
        <w:trPr>
          <w:trHeight w:val="14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934"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Ditto, six feet long between supports</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63"/>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3930"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Mar Forest fir</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588</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81"/>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696</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125</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1·442</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438</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6·00</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2581400</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1144</w:t>
            </w:r>
          </w:p>
        </w:tc>
      </w:tr>
      <w:tr>
        <w:trPr>
          <w:trHeight w:val="58"/>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3925"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Ditto, six feet long</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90"/>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693</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150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1·006</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561</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6·42</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403</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3478328</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1262</w:t>
            </w:r>
          </w:p>
        </w:tc>
      </w:tr>
      <w:tr>
        <w:trPr>
          <w:trHeight w:val="63"/>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2777" w:val="left"/>
                <w:tab w:leader="dot" w:pos="2831" w:val="left"/>
                <w:tab w:leader="dot" w:pos="3459" w:val="left"/>
                <w:tab w:leader="dot" w:pos="3504" w:val="left"/>
                <w:tab w:leader="dot" w:pos="3934"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Ditto, ditto.....</w:t>
              <w:tab/>
              <w:tab/>
              <w:tab/>
              <w:tab/>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85"/>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703</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150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1·006</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561</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6·42</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403</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3478328</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1262</w:t>
            </w:r>
          </w:p>
        </w:tc>
      </w:tr>
      <w:tr>
        <w:trPr>
          <w:trHeight w:val="67"/>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3921"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Larch</w:t>
              <w:tab/>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76"/>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531</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125</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1∙885</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325</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8·58</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411</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2465433</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853</w:t>
            </w:r>
          </w:p>
        </w:tc>
      </w:tr>
      <w:tr>
        <w:trPr>
          <w:trHeight w:val="54"/>
        </w:trPr>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9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871"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Ditto, six feet long</w:t>
              <w:tab/>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522</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556</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560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125</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150</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150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·812 ·831</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·831</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370</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501</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510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5∙00</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5·00</w:t>
            </w:r>
          </w:p>
          <w:p>
            <w:pPr>
              <w:pStyle w:val="Style6"/>
              <w:keepNext w:val="0"/>
              <w:keepLines w:val="0"/>
              <w:widowControl w:val="0"/>
              <w:shd w:val="clear" w:color="auto" w:fill="auto"/>
              <w:bidi w:val="0"/>
              <w:spacing w:line="23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5·00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518</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518</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518</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3591138</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4210830</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4210830</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832</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1127</w:t>
            </w:r>
          </w:p>
          <w:p>
            <w:pPr>
              <w:pStyle w:val="Style6"/>
              <w:keepNext w:val="0"/>
              <w:keepLines w:val="0"/>
              <w:widowControl w:val="0"/>
              <w:shd w:val="clear" w:color="auto" w:fill="auto"/>
              <w:bidi w:val="0"/>
              <w:spacing w:line="223"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1149</w:t>
            </w:r>
          </w:p>
        </w:tc>
      </w:tr>
      <w:tr>
        <w:trPr>
          <w:trHeight w:val="144"/>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808" w:val="left"/>
                <w:tab w:leader="dot" w:pos="2853" w:val="left"/>
                <w:tab w:leader="dot" w:pos="3391" w:val="left"/>
                <w:tab w:leader="dot" w:pos="3436" w:val="left"/>
                <w:tab w:leader="dot" w:pos="3876"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Ditto, ditto</w:t>
              <w:tab/>
              <w:tab/>
              <w:tab/>
              <w:tab/>
              <w:tab/>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871"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Ditto, ditto</w:t>
              <w:tab/>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63"/>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3858"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Norway spar</w:t>
              <w:tab/>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85"/>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577</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·800</w:t>
            </w:r>
          </w:p>
        </w:tc>
        <w:tc>
          <w:tcPr>
            <w:vMerge w:val="restart"/>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655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648</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5832000</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1474</w:t>
            </w:r>
          </w:p>
        </w:tc>
      </w:tr>
      <w:tr>
        <w:trPr>
          <w:trHeight w:val="153"/>
        </w:trPr>
        <w:tc>
          <w:tcPr>
            <w:tcBorders>
              <w:top w:val="single" w:sz="4"/>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ectPr>
          <w:footnotePr>
            <w:pos w:val="pageBottom"/>
            <w:numFmt w:val="decimal"/>
            <w:numRestart w:val="continuous"/>
          </w:footnotePr>
          <w:pgSz w:w="12240" w:h="15840"/>
          <w:pgMar w:top="1796" w:left="1886" w:right="1741" w:bottom="1543" w:header="0" w:footer="3" w:gutter="0"/>
          <w:cols w:space="720"/>
          <w:noEndnote/>
          <w:rtlGutter w:val="0"/>
          <w:docGrid w:linePitch="360"/>
        </w:sectPr>
      </w:pP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On the Woods of British Guiana.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Table III., which is the classification of timber adopted by the Committee of Lloyd’s Register Book of British Shipping, there are two sorts mentioned as timber of the first quality, which are yet little known in this coun</w:t>
        <w:softHyphen/>
        <w:t>try in private building yards, and not at all in our public establishments. These are greenheart and morra. They are both the produce of British Guiana, a colony that will in all probability ere long be a chief source from which this country will draw her supplies of naval timber. The territories of the colony have never yet been clearly de</w:t>
        <w:softHyphen/>
        <w:t>fined. Its extent has been variously stated, by some as not much exceeding 12,000 square miles, by others as extend</w:t>
        <w:softHyphen/>
        <w:t>ing over an area of 76,000 square miles. It is situated al</w:t>
        <w:softHyphen/>
        <w:t>most immediately under the equator, and has consequently the vigorous and luxuriant vegetation inherent to such regions. The forests of the interior are said to be of im</w:t>
        <w:softHyphen/>
        <w:t>mense extent, and abounding in valuable timber trees. Among these are, the morra, which nearly resembles in ap</w:t>
        <w:softHyphen/>
        <w:t>pearance the best African oak ; the simiri, or locust, a wood well known in England ; and the siperi, or greenheart, so called from a peculiar green tinge which the timber has when cut with a tool. There arc many other valuable timber trees, both for building and for ornamental work ; but these perhaps are the most important to notice here.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morra may be obtained easily to square twenty inches, and the logs run from thirty to fifty feet in length. It is said not to be susceptible of dry rot ; but there can hardly yet be sufficient experience of it when combined in the masses of timber to be found in large ships to establish this important point as indisputable. If it be as similar in </w:t>
      </w:r>
      <w:r>
        <w:rPr>
          <w:color w:val="000000"/>
          <w:spacing w:val="0"/>
          <w:w w:val="100"/>
          <w:position w:val="0"/>
          <w:shd w:val="clear" w:color="auto" w:fill="auto"/>
          <w:lang w:val="en-US" w:eastAsia="en-US" w:bidi="en-US"/>
        </w:rPr>
        <w:t>its qualities as it is in its appearance to African oak, it cer</w:t>
        <w:softHyphen/>
        <w:t>tainly can claim no exemption from the attack of dry rot. The trees grow to a great height ; and although the trunks are ge</w:t>
        <w:softHyphen/>
        <w:t>nerally straight, the branches afford good compass timber.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But the most important timber produce of British Gui</w:t>
        <w:softHyphen/>
        <w:t>ana is the greenheart. It is a hard close-grained wood, having, like teak, an oily feel to the touch. Its specific gravity is about equal to that of African oak, but it is de</w:t>
        <w:softHyphen/>
        <w:t>cidedly superior to it in strength, toughness, and durability. These, however, are not its chief advantages : its great va</w:t>
        <w:softHyphen/>
        <w:t>lue consists in its being completely exempt from the attacks of worms. It is on this account used in Demerara for sluice-gates, piles, and all marine engineering works which would be exposed to their ravages. Experiments of a most con</w:t>
        <w:softHyphen/>
        <w:t>clusive nature as to its really resisting these insects have been made in this country. The port of Liverpool is much infested with worms, and the wood-work of the docks there is constantly destroyed by them. Clows of greenheart tim</w:t>
        <w:softHyphen/>
        <w:t>ber have now been down upwards of seven years at the west entrance of the Brunswick half-tide basin, and are as yet untouched ; while experience has proved that clows of other timber in the same situation would have been destroyed in less than half that time.</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type w:val="continuous"/>
          <w:pgSz w:w="12240" w:h="15840"/>
          <w:pgMar w:top="1796" w:left="1717" w:right="2026" w:bottom="1543" w:header="0" w:footer="3" w:gutter="0"/>
          <w:cols w:space="720"/>
          <w:noEndnote/>
          <w:rtlGutter w:val="0"/>
          <w:docGrid w:linePitch="360"/>
        </w:sectPr>
      </w:pPr>
      <w:r>
        <w:rPr>
          <w:color w:val="000000"/>
          <w:spacing w:val="0"/>
          <w:w w:val="100"/>
          <w:position w:val="0"/>
          <w:shd w:val="clear" w:color="auto" w:fill="auto"/>
          <w:lang w:val="en-US" w:eastAsia="en-US" w:bidi="en-US"/>
        </w:rPr>
        <w:t>This is a most important quality, and renders this timber invaluable for marine engineering works. It is imported in logs of from twelve to sixteen inches square, and from twenty to forty feet in length. It is exceedingly hard, and difficult to work as planking, although latterly some colonial vessels have been planked with it. There is another Gui- anian timber, the siruaballi, of a softer texture, and much used for planking, as it is also said to be able to resist the ravages of the worm.</w:t>
      </w:r>
    </w:p>
    <w:sectPr>
      <w:footnotePr>
        <w:pos w:val="pageBottom"/>
        <w:numFmt w:val="decimal"/>
        <w:numRestart w:val="continuous"/>
      </w:footnotePr>
      <w:type w:val="continuous"/>
      <w:pgSz w:w="12240" w:h="15840"/>
      <w:pgMar w:top="1796" w:left="1717" w:right="2026" w:bottom="15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7">
    <w:name w:val="Other_"/>
    <w:basedOn w:val="DefaultParagraphFont"/>
    <w:link w:val="Style6"/>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6">
    <w:name w:val="Other"/>
    <w:basedOn w:val="Normal"/>
    <w:link w:val="CharStyle7"/>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