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made to communicate with each other by means of a pipe. The surfaces of the water in these cisterns were made to differ only by a small fraction of an inch ; and it is sup</w:t>
        <w:softHyphen/>
        <w:t>posed that the motion in the communicating pipe will be the same as in a very long pipe, or an open canal, having this very minute declivity. We have no difficulty in admit</w:t>
        <w:softHyphen/>
        <w:t>ting the conclusion ; but we have seen it contested, and it is by no means intuitive. We had entertained hopes that this important case would have been determined by direct experiments, which the writer of this article was commissioned to make by the Board for Encouraging Im</w:t>
        <w:softHyphen/>
        <w:t>provements and Manufactures in Scotland ; but the infirm state of his health was always an effectual bar to the ac</w:t>
        <w:softHyphen/>
        <w:t xml:space="preserve">complishment of this desirable object. This however need not occasion any hesitation in the adoption of the Chevalier </w:t>
      </w:r>
      <w:r>
        <w:rPr>
          <w:color w:val="000000"/>
          <w:spacing w:val="0"/>
          <w:w w:val="100"/>
          <w:position w:val="0"/>
          <w:shd w:val="clear" w:color="auto" w:fill="auto"/>
          <w:lang w:val="en-US" w:eastAsia="en-US" w:bidi="en-US"/>
        </w:rPr>
        <w:t>du Buat’s general proposition, because the experiments which we are now criticising fall in precisely with the gene</w:t>
        <w:softHyphen/>
        <w:t xml:space="preserve">ral train of the rest, and show no </w:t>
      </w:r>
      <w:r>
        <w:rPr>
          <w:i/>
          <w:iCs/>
          <w:color w:val="000000"/>
          <w:spacing w:val="0"/>
          <w:w w:val="100"/>
          <w:position w:val="0"/>
          <w:shd w:val="clear" w:color="auto" w:fill="auto"/>
          <w:lang w:val="en-US" w:eastAsia="en-US" w:bidi="en-US"/>
        </w:rPr>
        <w:t>general,</w:t>
      </w:r>
      <w:r>
        <w:rPr>
          <w:color w:val="000000"/>
          <w:spacing w:val="0"/>
          <w:w w:val="100"/>
          <w:position w:val="0"/>
          <w:shd w:val="clear" w:color="auto" w:fill="auto"/>
          <w:lang w:val="en-US" w:eastAsia="en-US" w:bidi="en-US"/>
        </w:rPr>
        <w:t xml:space="preserve"> deviation which would indicate a fallacy in principle.</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820" w:left="1782" w:right="1740" w:bottom="1580" w:header="0" w:footer="3" w:gutter="0"/>
          <w:cols w:space="720"/>
          <w:noEndnote/>
          <w:rtlGutter w:val="0"/>
          <w:docGrid w:linePitch="360"/>
        </w:sectPr>
      </w:pPr>
      <w:r>
        <w:rPr>
          <w:color w:val="000000"/>
          <w:spacing w:val="0"/>
          <w:w w:val="100"/>
          <w:position w:val="0"/>
          <w:shd w:val="clear" w:color="auto" w:fill="auto"/>
          <w:lang w:val="en-US" w:eastAsia="en-US" w:bidi="en-US"/>
        </w:rPr>
        <w:t xml:space="preserve">We apprehend it to be quite unnecessary to add much to what has been already delivered on the motion of waters in an open canal. Their </w:t>
      </w:r>
      <w:r>
        <w:rPr>
          <w:i/>
          <w:iCs/>
          <w:color w:val="000000"/>
          <w:spacing w:val="0"/>
          <w:w w:val="100"/>
          <w:position w:val="0"/>
          <w:shd w:val="clear" w:color="auto" w:fill="auto"/>
          <w:lang w:val="en-US" w:eastAsia="en-US" w:bidi="en-US"/>
        </w:rPr>
        <w:t>general progressive</w:t>
      </w:r>
      <w:r>
        <w:rPr>
          <w:color w:val="000000"/>
          <w:spacing w:val="0"/>
          <w:w w:val="100"/>
          <w:position w:val="0"/>
          <w:shd w:val="clear" w:color="auto" w:fill="auto"/>
          <w:lang w:val="en-US" w:eastAsia="en-US" w:bidi="en-US"/>
        </w:rPr>
        <w:t xml:space="preserve"> motion, and consequently the quantity delivered by an aqueduct of any slope and dimension, are sufficiently determined ; and all that is wanted is the tables referred to in the article </w:t>
      </w:r>
      <w:r>
        <w:rPr>
          <w:smallCaps/>
          <w:color w:val="000000"/>
          <w:spacing w:val="0"/>
          <w:w w:val="100"/>
          <w:position w:val="0"/>
          <w:shd w:val="clear" w:color="auto" w:fill="auto"/>
          <w:lang w:val="en-US" w:eastAsia="en-US" w:bidi="en-US"/>
        </w:rPr>
        <w:t xml:space="preserve">River, </w:t>
      </w:r>
      <w:r>
        <w:rPr>
          <w:color w:val="000000"/>
          <w:spacing w:val="0"/>
          <w:w w:val="100"/>
          <w:position w:val="0"/>
          <w:shd w:val="clear" w:color="auto" w:fill="auto"/>
          <w:lang w:val="en-US" w:eastAsia="en-US" w:bidi="en-US"/>
        </w:rPr>
        <w:t>by which any person who understands common arithmetic may compute the quantity of water which will be delivered by the aqueduct, canal, conduit, or pipe. These tables, which with great labour have been computed for this work, here follow.</w:t>
      </w:r>
    </w:p>
    <w:p>
      <w:pPr>
        <w:pStyle w:val="Style3"/>
        <w:keepNext w:val="0"/>
        <w:keepLines w:val="0"/>
        <w:widowControl w:val="0"/>
        <w:shd w:val="clear" w:color="auto" w:fill="auto"/>
        <w:tabs>
          <w:tab w:pos="6118" w:val="left"/>
        </w:tabs>
        <w:bidi w:val="0"/>
        <w:spacing w:line="240" w:lineRule="auto"/>
        <w:ind w:left="0" w:firstLine="0"/>
        <w:jc w:val="left"/>
      </w:pPr>
      <w:r>
        <w:rPr>
          <w:smallCap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xml:space="preserve"> I. </w:t>
      </w:r>
      <w:r>
        <w:rPr>
          <w:i/>
          <w:iCs/>
          <w:color w:val="000000"/>
          <w:spacing w:val="0"/>
          <w:w w:val="100"/>
          <w:position w:val="0"/>
          <w:shd w:val="clear" w:color="auto" w:fill="auto"/>
          <w:lang w:val="en-US" w:eastAsia="en-US" w:bidi="en-US"/>
        </w:rPr>
        <w:t>Logarithms of the Values of the Numerator of the Fraction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307(</w:t>
      </w:r>
      <w:r>
        <w:rPr>
          <w:i/>
          <w:iCs/>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vertAlign w:val="superscript"/>
          <w:lang w:val="en-US" w:eastAsia="en-US" w:bidi="en-US"/>
        </w:rPr>
        <w:t>-0·1)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vertAlign w:val="subscript"/>
          <w:lang w:val="en-US" w:eastAsia="en-US" w:bidi="en-US"/>
        </w:rPr>
        <w:t>1·6</w:t>
      </w:r>
      <w:r>
        <w:rPr>
          <w:i/>
          <w:iCs/>
          <w:color w:val="000000"/>
          <w:spacing w:val="0"/>
          <w:w w:val="100"/>
          <w:position w:val="0"/>
          <w:shd w:val="clear" w:color="auto" w:fill="auto"/>
          <w:lang w:val="en-US" w:eastAsia="en-US" w:bidi="en-US"/>
        </w:rPr>
        <w:t xml:space="preserve"> for every Value of the Hydraulic</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mean Depth</w:t>
      </w:r>
      <w:r>
        <w:rPr>
          <w:color w:val="000000"/>
          <w:spacing w:val="0"/>
          <w:w w:val="100"/>
          <w:position w:val="0"/>
          <w:shd w:val="clear" w:color="auto" w:fill="auto"/>
          <w:lang w:val="en-US" w:eastAsia="en-US" w:bidi="en-US"/>
        </w:rPr>
        <w:t xml:space="preserve"> d: </w:t>
      </w:r>
      <w:r>
        <w:rPr>
          <w:i/>
          <w:iCs/>
          <w:color w:val="000000"/>
          <w:spacing w:val="0"/>
          <w:w w:val="100"/>
          <w:position w:val="0"/>
          <w:shd w:val="clear" w:color="auto" w:fill="auto"/>
          <w:lang w:val="en-US" w:eastAsia="en-US" w:bidi="en-US"/>
        </w:rPr>
        <w:t>also the Value of</w:t>
      </w:r>
      <w:r>
        <w:rPr>
          <w:color w:val="000000"/>
          <w:spacing w:val="0"/>
          <w:w w:val="100"/>
          <w:position w:val="0"/>
          <w:shd w:val="clear" w:color="auto" w:fill="auto"/>
          <w:lang w:val="en-US" w:eastAsia="en-US" w:bidi="en-US"/>
        </w:rPr>
        <w:t xml:space="preserve"> 0∙3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—0∙1).</w:t>
      </w:r>
    </w:p>
    <w:tbl>
      <w:tblPr>
        <w:tblOverlap w:val="never"/>
        <w:jc w:val="left"/>
        <w:tblLayout w:type="fixed"/>
      </w:tblPr>
      <w:tblGrid>
        <w:gridCol w:w="269"/>
        <w:gridCol w:w="980"/>
        <w:gridCol w:w="743"/>
        <w:gridCol w:w="321"/>
        <w:gridCol w:w="1054"/>
        <w:gridCol w:w="739"/>
        <w:gridCol w:w="399"/>
        <w:gridCol w:w="1050"/>
        <w:gridCol w:w="743"/>
        <w:gridCol w:w="344"/>
        <w:gridCol w:w="989"/>
        <w:gridCol w:w="720"/>
      </w:tblGrid>
      <w:tr>
        <w:trPr>
          <w:trHeight w:val="595"/>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Log. of</w:t>
            </w:r>
          </w:p>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307 (</w:t>
            </w:r>
            <w:r>
              <w:rPr>
                <w:rStyle w:val="CharStyle4"/>
                <w:sz w:val="12"/>
                <w:szCs w:val="12"/>
              </w:rPr>
              <w:t>√</w:t>
            </w:r>
            <w:r>
              <w:rPr>
                <w:rStyle w:val="CharStyle4"/>
                <w:i/>
                <w:iCs/>
                <w:sz w:val="12"/>
                <w:szCs w:val="12"/>
              </w:rPr>
              <w:t>d</w:t>
            </w:r>
            <w:r>
              <w:rPr>
                <w:rStyle w:val="CharStyle4"/>
                <w:sz w:val="12"/>
                <w:szCs w:val="12"/>
              </w:rPr>
              <w:t>—0∙1</w:t>
            </w:r>
            <w:r>
              <w:rPr>
                <w:b/>
                <w:b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0∙3</w:t>
            </w:r>
          </w:p>
          <w:p>
            <w:pPr>
              <w:pStyle w:val="Style7"/>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r>
              <w:rPr>
                <w:rStyle w:val="CharStyle4"/>
                <w:sz w:val="12"/>
                <w:szCs w:val="12"/>
              </w:rPr>
              <w:t>√</w:t>
            </w:r>
            <w:r>
              <w:rPr>
                <w:rStyle w:val="CharStyle4"/>
                <w:i/>
                <w:iCs/>
                <w:sz w:val="12"/>
                <w:szCs w:val="12"/>
              </w:rPr>
              <w:t>d</w:t>
            </w:r>
            <w:r>
              <w:rPr>
                <w:rStyle w:val="CharStyle4"/>
                <w:sz w:val="12"/>
                <w:szCs w:val="12"/>
              </w:rPr>
              <w:t>—0∙1</w:t>
            </w:r>
            <w:r>
              <w:rPr>
                <w:b/>
                <w:b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Log. of</w:t>
            </w:r>
          </w:p>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307 (</w:t>
            </w:r>
            <w:r>
              <w:rPr>
                <w:rStyle w:val="CharStyle4"/>
                <w:sz w:val="12"/>
                <w:szCs w:val="12"/>
              </w:rPr>
              <w:t>√</w:t>
            </w:r>
            <w:r>
              <w:rPr>
                <w:rStyle w:val="CharStyle4"/>
                <w:i/>
                <w:iCs/>
                <w:sz w:val="12"/>
                <w:szCs w:val="12"/>
              </w:rPr>
              <w:t>d</w:t>
            </w:r>
            <w:r>
              <w:rPr>
                <w:rStyle w:val="CharStyle4"/>
                <w:sz w:val="12"/>
                <w:szCs w:val="12"/>
              </w:rPr>
              <w:t>—0∙1</w:t>
            </w:r>
            <w:r>
              <w:rPr>
                <w:b/>
                <w:b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18" w:lineRule="auto"/>
              <w:ind w:left="0" w:firstLine="0"/>
              <w:jc w:val="left"/>
              <w:rPr>
                <w:sz w:val="12"/>
                <w:szCs w:val="12"/>
              </w:rPr>
            </w:pPr>
            <w:r>
              <w:rPr>
                <w:b/>
                <w:bCs/>
                <w:color w:val="000000"/>
                <w:spacing w:val="0"/>
                <w:w w:val="100"/>
                <w:position w:val="0"/>
                <w:sz w:val="12"/>
                <w:szCs w:val="12"/>
                <w:shd w:val="clear" w:color="auto" w:fill="auto"/>
                <w:lang w:val="en-US" w:eastAsia="en-US" w:bidi="en-US"/>
              </w:rPr>
              <w:t>0∙3 × (</w:t>
            </w:r>
            <w:r>
              <w:rPr>
                <w:rStyle w:val="CharStyle4"/>
                <w:sz w:val="12"/>
                <w:szCs w:val="12"/>
              </w:rPr>
              <w:t>√</w:t>
            </w:r>
            <w:r>
              <w:rPr>
                <w:rStyle w:val="CharStyle4"/>
                <w:i/>
                <w:iCs/>
                <w:sz w:val="12"/>
                <w:szCs w:val="12"/>
              </w:rPr>
              <w:t>d</w:t>
            </w:r>
            <w:r>
              <w:rPr>
                <w:rStyle w:val="CharStyle4"/>
                <w:sz w:val="12"/>
                <w:szCs w:val="12"/>
              </w:rPr>
              <w:t>—0∙1</w:t>
            </w:r>
            <w:r>
              <w:rPr>
                <w:b/>
                <w:b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Log. of</w:t>
            </w:r>
          </w:p>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307(</w:t>
            </w:r>
            <w:r>
              <w:rPr>
                <w:rStyle w:val="CharStyle4"/>
                <w:sz w:val="12"/>
                <w:szCs w:val="12"/>
              </w:rPr>
              <w:t>√</w:t>
            </w:r>
            <w:r>
              <w:rPr>
                <w:rStyle w:val="CharStyle4"/>
                <w:i/>
                <w:iCs/>
                <w:sz w:val="12"/>
                <w:szCs w:val="12"/>
              </w:rPr>
              <w:t>d</w:t>
            </w:r>
            <w:r>
              <w:rPr>
                <w:rStyle w:val="CharStyle4"/>
                <w:sz w:val="12"/>
                <w:szCs w:val="12"/>
              </w:rPr>
              <w:t>—0∙1</w:t>
            </w:r>
            <w:r>
              <w:rPr>
                <w:b/>
                <w:b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0∙3</w:t>
            </w:r>
          </w:p>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 (</w:t>
            </w:r>
            <w:r>
              <w:rPr>
                <w:rStyle w:val="CharStyle4"/>
                <w:sz w:val="12"/>
                <w:szCs w:val="12"/>
              </w:rPr>
              <w:t>√</w:t>
            </w:r>
            <w:r>
              <w:rPr>
                <w:rStyle w:val="CharStyle4"/>
                <w:i/>
                <w:iCs/>
                <w:sz w:val="12"/>
                <w:szCs w:val="12"/>
              </w:rPr>
              <w:t>d</w:t>
            </w:r>
            <w:r>
              <w:rPr>
                <w:rStyle w:val="CharStyle4"/>
                <w:sz w:val="12"/>
                <w:szCs w:val="12"/>
              </w:rPr>
              <w:t>—0∙1</w:t>
            </w:r>
            <w:r>
              <w:rPr>
                <w:b/>
                <w:b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Log. of</w:t>
            </w:r>
          </w:p>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307 (</w:t>
            </w:r>
            <w:r>
              <w:rPr>
                <w:rStyle w:val="CharStyle4"/>
                <w:sz w:val="12"/>
                <w:szCs w:val="12"/>
              </w:rPr>
              <w:t>√</w:t>
            </w:r>
            <w:r>
              <w:rPr>
                <w:rStyle w:val="CharStyle4"/>
                <w:i/>
                <w:iCs/>
                <w:sz w:val="12"/>
                <w:szCs w:val="12"/>
              </w:rPr>
              <w:t>d</w:t>
            </w:r>
            <w:r>
              <w:rPr>
                <w:rStyle w:val="CharStyle4"/>
                <w:sz w:val="12"/>
                <w:szCs w:val="12"/>
              </w:rPr>
              <w:t>—0∙1</w:t>
            </w:r>
            <w:r>
              <w:rPr>
                <w:b/>
                <w:bCs/>
                <w:color w:val="000000"/>
                <w:spacing w:val="0"/>
                <w:w w:val="100"/>
                <w:position w:val="0"/>
                <w:sz w:val="12"/>
                <w:szCs w:val="12"/>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26" w:lineRule="auto"/>
              <w:ind w:left="0" w:firstLine="0"/>
              <w:jc w:val="left"/>
              <w:rPr>
                <w:sz w:val="12"/>
                <w:szCs w:val="12"/>
              </w:rPr>
            </w:pPr>
            <w:r>
              <w:rPr>
                <w:b/>
                <w:bCs/>
                <w:color w:val="000000"/>
                <w:spacing w:val="0"/>
                <w:w w:val="100"/>
                <w:position w:val="0"/>
                <w:sz w:val="12"/>
                <w:szCs w:val="12"/>
                <w:shd w:val="clear" w:color="auto" w:fill="auto"/>
                <w:lang w:val="en-US" w:eastAsia="en-US" w:bidi="en-US"/>
              </w:rPr>
              <w:t>0∙3 × (</w:t>
            </w:r>
            <w:r>
              <w:rPr>
                <w:rStyle w:val="CharStyle4"/>
                <w:sz w:val="12"/>
                <w:szCs w:val="12"/>
              </w:rPr>
              <w:t>√</w:t>
            </w:r>
            <w:r>
              <w:rPr>
                <w:rStyle w:val="CharStyle4"/>
                <w:i/>
                <w:iCs/>
                <w:sz w:val="12"/>
                <w:szCs w:val="12"/>
              </w:rPr>
              <w:t>d</w:t>
            </w:r>
            <w:r>
              <w:rPr>
                <w:rStyle w:val="CharStyle4"/>
                <w:sz w:val="12"/>
                <w:szCs w:val="12"/>
              </w:rPr>
              <w:t>—0∙1</w:t>
            </w:r>
            <w:r>
              <w:rPr>
                <w:b/>
                <w:bCs/>
                <w:color w:val="000000"/>
                <w:spacing w:val="0"/>
                <w:w w:val="100"/>
                <w:position w:val="0"/>
                <w:sz w:val="12"/>
                <w:szCs w:val="12"/>
                <w:shd w:val="clear" w:color="auto" w:fill="auto"/>
                <w:lang w:val="en-US" w:eastAsia="en-US" w:bidi="en-US"/>
              </w:rPr>
              <w:t>)</w:t>
            </w:r>
          </w:p>
        </w:tc>
      </w:tr>
      <w:tr>
        <w:trPr>
          <w:trHeight w:val="19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0,I</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l∙82208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2*81216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2'96634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3'34738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2,17</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202773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2∙81674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2'96865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3∙35143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2,19</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213815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2∙82125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2∙97093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5'35539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2,21</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2 21343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2'82567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2-97319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3∙35928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2,23</w:t>
            </w:r>
          </w:p>
        </w:tc>
      </w:tr>
      <w:tr>
        <w:trPr>
          <w:trHeight w:val="14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2'27040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2'83000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2*99454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3-36312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2,25</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2'31618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2∙83422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301401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3∙36687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2,27</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2'35441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2*83840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3 03189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3-37057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2,30</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2'38719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2∙84248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3'04843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3∙37421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2,31</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2∙4l588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2∙84648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306383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3∙37778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2,33</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2'44138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2'85043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3'07820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3*38130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2,35</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2'46431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2*85431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3'09170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3'38477</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2,37</w:t>
            </w:r>
          </w:p>
        </w:tc>
      </w:tr>
      <w:tr>
        <w:trPr>
          <w:trHeight w:val="13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2'48518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2'85812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3 10441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3'38817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2,39</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2∙50426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2'86185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3*11644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3'39153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2.41</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2'52185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2∙86554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3∙12783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3∙39483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2,42</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2∙53818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2'86916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l-GR" w:eastAsia="el-GR" w:bidi="el-GR"/>
              </w:rPr>
              <w:t>3Ί3867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3-39809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2,44</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2'55345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287271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l-GR" w:eastAsia="el-GR" w:bidi="el-GR"/>
              </w:rPr>
              <w:t>3Ί4899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3'40130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2,46</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2'56769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2'87622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l-GR" w:eastAsia="el-GR" w:bidi="el-GR"/>
              </w:rPr>
              <w:t>3Ί5885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3'40446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2,48</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2∙58ll2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2'87966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3'16828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3 40758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2,49</w:t>
            </w:r>
          </w:p>
        </w:tc>
      </w:tr>
      <w:tr>
        <w:trPr>
          <w:trHeight w:val="16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2'59381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2'88306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3∙17734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3-41065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2,51</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2∙60580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2'88641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3∙1860l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3-41369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2,53</w:t>
            </w:r>
          </w:p>
        </w:tc>
      </w:tr>
      <w:tr>
        <w:trPr>
          <w:trHeight w:val="12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de-DE" w:eastAsia="de-DE" w:bidi="de-DE"/>
              </w:rPr>
              <w:t>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2 61713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2'88971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3*19438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3-41667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2,55</w:t>
            </w:r>
          </w:p>
        </w:tc>
      </w:tr>
      <w:tr>
        <w:trPr>
          <w:trHeight w:val="16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2*62803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2'89296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3∙20243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3'41962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2,57</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2'63839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2'89614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3'21020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3-42253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2,58</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2'64827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2'89930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3-21770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3'42540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2,60</w:t>
            </w:r>
          </w:p>
        </w:tc>
      </w:tr>
      <w:tr>
        <w:trPr>
          <w:trHeight w:val="14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2∙65772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2∙90241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3∙22495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3'42823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2,62</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2'66681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2*90549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3'23196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3'43103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2,63</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2'67556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2'90851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3'23877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3'43380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2,65</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2'68395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2∙9H50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3'24537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3'43653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2,67</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2'69207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2'91445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3'25176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3'43923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2,69</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2'69989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2'91734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3'25799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3∙44l89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2,70</w:t>
            </w:r>
          </w:p>
        </w:tc>
      </w:tr>
      <w:tr>
        <w:trPr>
          <w:trHeight w:val="15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2'70743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2'92022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3∙26404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3'44452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2,72</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2'71472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2∙92305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3-26993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3'44712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2,74</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2'72181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2∙92584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3-27566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3 44968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2.75</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2'72866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2-92860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3*28125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3*45222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2,77</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2 73531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293133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3'28669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3∙45473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2,78</w:t>
            </w:r>
          </w:p>
        </w:tc>
      </w:tr>
      <w:tr>
        <w:trPr>
          <w:trHeight w:val="17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2'74178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2'93403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3 29201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3 45721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2,79</w:t>
            </w:r>
          </w:p>
        </w:tc>
      </w:tr>
      <w:tr>
        <w:trPr>
          <w:trHeight w:val="13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⅛l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2'74805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2∙93670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3 29720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3 45965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2,81</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2'7∙5417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2∙93933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3 30227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3'46208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2,83</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2'76009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2*94192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3'30722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3'46448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2,85</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2'76589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2∙94449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3'31207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3 46685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2,86</w:t>
            </w:r>
          </w:p>
        </w:tc>
      </w:tr>
      <w:tr>
        <w:trPr>
          <w:trHeight w:val="17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2'77153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2'94703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3 31681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3'46920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2,88</w:t>
            </w:r>
          </w:p>
        </w:tc>
      </w:tr>
      <w:tr>
        <w:trPr>
          <w:trHeight w:val="13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2'77704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2'94954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3'32145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3'47152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2,89</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2'78240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2'95202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3∙32599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3'47381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2,91</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2'78765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2∙95447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3 33043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3∙47608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2,93</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2-79277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2'95690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3∙33480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3'47833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2,94</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2'79779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2'95930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3∙33908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3'48056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2,95</w:t>
            </w:r>
          </w:p>
        </w:tc>
      </w:tr>
      <w:tr>
        <w:trPr>
          <w:trHeight w:val="12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2-80269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2'96167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0,89</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53</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3'34327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2,15</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w:t>
            </w:r>
          </w:p>
        </w:tc>
        <w:tc>
          <w:tcPr>
            <w:gridSpan w:val="2"/>
            <w:vMerge w:val="restart"/>
            <w:tcBorders>
              <w:left w:val="single" w:sz="4"/>
              <w:right w:val="single" w:sz="4"/>
            </w:tcBorders>
            <w:shd w:val="clear" w:color="auto" w:fill="FFFFFF"/>
            <w:vAlign w:val="top"/>
          </w:tcPr>
          <w:p>
            <w:pPr>
              <w:pStyle w:val="Style7"/>
              <w:keepNext w:val="0"/>
              <w:keepLines w:val="0"/>
              <w:widowControl w:val="0"/>
              <w:shd w:val="clear" w:color="auto" w:fill="auto"/>
              <w:tabs>
                <w:tab w:pos="1222"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3∙48277</w:t>
              <w:tab/>
              <w:t>2,97</w:t>
            </w:r>
          </w:p>
        </w:tc>
      </w:tr>
      <w:tr>
        <w:trPr>
          <w:trHeight w:val="232"/>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2'80747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0,63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2'96402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0,90</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gridSpan w:val="2"/>
            <w:vMerge/>
            <w:tcBorders>
              <w:left w:val="single" w:sz="4"/>
              <w:bottom w:val="single" w:sz="4"/>
              <w:right w:val="single" w:sz="4"/>
            </w:tcBorders>
            <w:shd w:val="clear" w:color="auto" w:fill="FFFFFF"/>
            <w:vAlign w:val="top"/>
          </w:tcPr>
          <w:p>
            <w:pPr/>
          </w:p>
        </w:tc>
      </w:tr>
    </w:tbl>
    <w:sectPr>
      <w:footnotePr>
        <w:pos w:val="pageBottom"/>
        <w:numFmt w:val="decimal"/>
        <w:numRestart w:val="continuous"/>
      </w:footnotePr>
      <w:type w:val="continuous"/>
      <w:pgSz w:w="12240" w:h="15840"/>
      <w:pgMar w:top="1597" w:left="1822" w:right="1718" w:bottom="13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