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be seen to be doubtful whether, in all its varied operations, more than 250,000, certainly not 300,000, persons are en</w:t>
        <w:softHyphen/>
        <w:t>gaged in or dependent on that branch of industry.” (P. 3.) The statement to which Mr Marshall alludes, was made by Mr Law, afterwards Lord Ellenborough, in 1800, when engaged as counsel for the petitioners against the exporta</w:t>
        <w:softHyphen/>
        <w:t>tion of wool to Ireland. He said there were 1,500,000 persons immediately employed, and that 3,000,000 were collaterally employed ; meaning thereby to include ma</w:t>
        <w:softHyphen/>
        <w:t>chine-makers, carriers, and so forth. No doubt he was then wrong ; but at the present day we cannot think the number short of 1,000,000, and when the census of the present year is made, it will be probably found to exceed it. Indeed Mr Marshall’s own table shows a much greater number. He takes the several counties, and separates the agricultural, mining, and manufacturing, from each other. Thus, in the west riding he gives,—coal and iron, 13,997 families; agriculture, 15,331 ; manufactures, 85,096; all others, 17,767; making the manufacturing families about two thirds of the whole. Now these are nearly all en</w:t>
        <w:softHyphen/>
        <w:t>gaged in the woollen trade, for those engaged in the cot</w:t>
        <w:softHyphen/>
        <w:t>ton manufacture will be compensated by at least an equal number in Lancashire engaged in the manufacture of baizes, flannels, &amp;c. In like manner, the manufactures other than woollen are insignificant, and will be compen</w:t>
        <w:softHyphen/>
        <w:t>sated by woollens manufactured elsewhere. His table then will stand as follows :</w:t>
      </w:r>
    </w:p>
    <w:tbl>
      <w:tblPr>
        <w:tblOverlap w:val="never"/>
        <w:jc w:val="left"/>
        <w:tblLayout w:type="fixed"/>
      </w:tblPr>
      <w:tblGrid>
        <w:gridCol w:w="3493"/>
        <w:gridCol w:w="827"/>
      </w:tblGrid>
      <w:tr>
        <w:trPr>
          <w:trHeight w:val="200"/>
        </w:trPr>
        <w:tc>
          <w:tcPr>
            <w:gridSpan w:val="2"/>
            <w:tcBorders/>
            <w:shd w:val="clear" w:color="auto" w:fill="FFFFFF"/>
            <w:vAlign w:val="bottom"/>
          </w:tcPr>
          <w:p>
            <w:pPr>
              <w:pStyle w:val="Style5"/>
              <w:keepNext w:val="0"/>
              <w:keepLines w:val="0"/>
              <w:widowControl w:val="0"/>
              <w:shd w:val="clear" w:color="auto" w:fill="auto"/>
              <w:tabs>
                <w:tab w:leader="dot" w:pos="4250" w:val="right"/>
              </w:tabs>
              <w:bidi w:val="0"/>
              <w:spacing w:line="240" w:lineRule="auto"/>
              <w:ind w:left="0" w:firstLine="0"/>
              <w:jc w:val="left"/>
            </w:pPr>
            <w:r>
              <w:rPr>
                <w:color w:val="000000"/>
                <w:spacing w:val="0"/>
                <w:w w:val="100"/>
                <w:position w:val="0"/>
                <w:shd w:val="clear" w:color="auto" w:fill="auto"/>
                <w:lang w:val="en-US" w:eastAsia="en-US" w:bidi="en-US"/>
              </w:rPr>
              <w:t>West riding of York</w:t>
              <w:tab/>
              <w:t>85,096</w:t>
            </w:r>
          </w:p>
        </w:tc>
      </w:tr>
      <w:tr>
        <w:trPr>
          <w:trHeight w:val="153"/>
        </w:trPr>
        <w:tc>
          <w:tcPr>
            <w:gridSpan w:val="2"/>
            <w:tcBorders>
              <w:top w:val="single" w:sz="4"/>
            </w:tcBorders>
            <w:shd w:val="clear" w:color="auto" w:fill="FFFFFF"/>
            <w:vAlign w:val="bottom"/>
          </w:tcPr>
          <w:p>
            <w:pPr>
              <w:pStyle w:val="Style5"/>
              <w:keepNext w:val="0"/>
              <w:keepLines w:val="0"/>
              <w:widowControl w:val="0"/>
              <w:shd w:val="clear" w:color="auto" w:fill="auto"/>
              <w:tabs>
                <w:tab w:leader="dot" w:pos="4241" w:val="right"/>
              </w:tabs>
              <w:bidi w:val="0"/>
              <w:spacing w:line="240" w:lineRule="auto"/>
              <w:ind w:left="0" w:firstLine="0"/>
              <w:jc w:val="left"/>
            </w:pPr>
            <w:r>
              <w:rPr>
                <w:color w:val="000000"/>
                <w:spacing w:val="0"/>
                <w:w w:val="100"/>
                <w:position w:val="0"/>
                <w:shd w:val="clear" w:color="auto" w:fill="auto"/>
                <w:lang w:val="en-US" w:eastAsia="en-US" w:bidi="en-US"/>
              </w:rPr>
              <w:t>West of England woollen districts</w:t>
              <w:tab/>
              <w:t>20,851</w:t>
            </w:r>
          </w:p>
        </w:tc>
      </w:tr>
      <w:tr>
        <w:trPr>
          <w:trHeight w:val="186"/>
        </w:trPr>
        <w:tc>
          <w:tcPr>
            <w:gridSpan w:val="2"/>
            <w:tcBorders>
              <w:top w:val="single" w:sz="4"/>
            </w:tcBorders>
            <w:shd w:val="clear" w:color="auto" w:fill="FFFFFF"/>
            <w:vAlign w:val="bottom"/>
          </w:tcPr>
          <w:p>
            <w:pPr>
              <w:pStyle w:val="Style5"/>
              <w:keepNext w:val="0"/>
              <w:keepLines w:val="0"/>
              <w:widowControl w:val="0"/>
              <w:shd w:val="clear" w:color="auto" w:fill="auto"/>
              <w:tabs>
                <w:tab w:leader="dot" w:pos="4255" w:val="right"/>
              </w:tabs>
              <w:bidi w:val="0"/>
              <w:spacing w:line="240" w:lineRule="auto"/>
              <w:ind w:left="0" w:firstLine="0"/>
              <w:jc w:val="left"/>
            </w:pPr>
            <w:r>
              <w:rPr>
                <w:color w:val="000000"/>
                <w:spacing w:val="0"/>
                <w:w w:val="100"/>
                <w:position w:val="0"/>
                <w:shd w:val="clear" w:color="auto" w:fill="auto"/>
                <w:lang w:val="en-US" w:eastAsia="en-US" w:bidi="en-US"/>
              </w:rPr>
              <w:t>Norwich and Kendal mixed stuffs</w:t>
              <w:tab/>
              <w:t>17,570</w:t>
            </w:r>
          </w:p>
        </w:tc>
      </w:tr>
      <w:tr>
        <w:trPr>
          <w:trHeight w:val="288"/>
        </w:trPr>
        <w:tc>
          <w:tcPr>
            <w:gridSpan w:val="2"/>
            <w:tcBorders>
              <w:top w:val="single" w:sz="4"/>
            </w:tcBorders>
            <w:shd w:val="clear" w:color="auto" w:fill="FFFFFF"/>
            <w:vAlign w:val="top"/>
          </w:tcPr>
          <w:p>
            <w:pPr>
              <w:pStyle w:val="Style5"/>
              <w:keepNext w:val="0"/>
              <w:keepLines w:val="0"/>
              <w:widowControl w:val="0"/>
              <w:shd w:val="clear" w:color="auto" w:fill="auto"/>
              <w:tabs>
                <w:tab w:leader="dot" w:pos="4264" w:val="right"/>
              </w:tabs>
              <w:bidi w:val="0"/>
              <w:spacing w:line="240" w:lineRule="auto"/>
              <w:ind w:left="0" w:firstLine="0"/>
              <w:jc w:val="left"/>
            </w:pPr>
            <w:r>
              <w:rPr>
                <w:color w:val="000000"/>
                <w:spacing w:val="0"/>
                <w:w w:val="100"/>
                <w:position w:val="0"/>
                <w:shd w:val="clear" w:color="auto" w:fill="auto"/>
                <w:lang w:val="en-US" w:eastAsia="en-US" w:bidi="en-US"/>
              </w:rPr>
              <w:t>Leicester North Derby hosiery, half worsted</w:t>
              <w:tab/>
              <w:t>20,464</w:t>
            </w:r>
          </w:p>
        </w:tc>
      </w:tr>
      <w:tr>
        <w:trPr>
          <w:trHeight w:val="265"/>
        </w:trPr>
        <w:tc>
          <w:tcPr>
            <w:gridSpan w:val="2"/>
            <w:tcBorders>
              <w:top w:val="single" w:sz="4"/>
              <w:bottom w:val="single" w:sz="4"/>
            </w:tcBorders>
            <w:shd w:val="clear" w:color="auto" w:fill="FFFFFF"/>
            <w:vAlign w:val="bottom"/>
          </w:tcPr>
          <w:p>
            <w:pPr>
              <w:pStyle w:val="Style5"/>
              <w:keepNext w:val="0"/>
              <w:keepLines w:val="0"/>
              <w:widowControl w:val="0"/>
              <w:shd w:val="clear" w:color="auto" w:fill="auto"/>
              <w:tabs>
                <w:tab w:leader="dot" w:pos="3888" w:val="right"/>
              </w:tabs>
              <w:bidi w:val="0"/>
              <w:spacing w:line="240" w:lineRule="auto"/>
              <w:ind w:left="0" w:firstLine="0"/>
              <w:jc w:val="left"/>
            </w:pPr>
            <w:r>
              <w:rPr>
                <w:color w:val="000000"/>
                <w:spacing w:val="0"/>
                <w:w w:val="100"/>
                <w:position w:val="0"/>
                <w:shd w:val="clear" w:color="auto" w:fill="auto"/>
                <w:lang w:val="en-US" w:eastAsia="en-US" w:bidi="en-US"/>
              </w:rPr>
              <w:t>Families</w:t>
              <w:tab/>
              <w:t>143,981</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proper multiple to count families into population is 51, that is, Great Britain in 1831 contained, in round num</w:t>
        <w:softHyphen/>
        <w:t>bers, 3,000,000 families, and 16,000,000 individuals. Hence 143,981 families = 766,899 persons. This does not in</w:t>
        <w:softHyphen/>
        <w:t>clude the flannel manufacturers of North Wales, the blan</w:t>
        <w:softHyphen/>
        <w:t>ket manufacturers of Oxfordshire, and some scattered ma</w:t>
        <w:softHyphen/>
        <w:t>nufactures in other districts, for which an allowance of 20,000 families is not excessive. We shall then have 163,981 families, and 874,565 persons, directly supported by the wool</w:t>
        <w:softHyphen/>
        <w:t xml:space="preserve">len manufacture in England and Wales. We have no </w:t>
      </w:r>
      <w:r>
        <w:rPr>
          <w:color w:val="000000"/>
          <w:spacing w:val="0"/>
          <w:w w:val="100"/>
          <w:position w:val="0"/>
          <w:shd w:val="clear" w:color="auto" w:fill="auto"/>
          <w:lang w:val="en-US" w:eastAsia="en-US" w:bidi="en-US"/>
        </w:rPr>
        <w:t>means of separating the woollen manufactures of Scotland from those engaged in other branches ; but we find from the Report of the Assistant Hand-Loom Commissioners for Scotland, that the woollen trade is carried on to a consi</w:t>
        <w:softHyphen/>
        <w:t>derable extent in the shires of Lanark, Renfrew, and Ayr; and also, though not so largely, in Dumfries, Roxburgh, Selkirk, Edinburgh, and slightly in Peebles and Bute. We are disposed to estimate the woollen trade somewhere between a fourth and a fifth of that of England. The cli</w:t>
        <w:softHyphen/>
        <w:t>mate being more severe, there is a much more constant use of woollen among the people than in England. The shepherd’s plaid takes the place of the linen smock-frock of the south, so that the extent of the manufacture must not be judged by the quantity exported. However, to be on the safe side, we will fix it at one fifth of that of England, or 32,800 families, or 174,933 people, dependent on the woollen manufacture, which, added to our previous number, gives 196,781 families, and 1,059,495 people.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it must be further observed, that this calculation is based on the population returns of 1831, since which time our population, manufactures, and trade, have greatly in</w:t>
        <w:softHyphen/>
        <w:t>creased. Between 1821 and 1831, the increase for the whole kingdom was 15½ per cent. ; and since then, from improvements in agriculture, and generally productive har</w:t>
        <w:softHyphen/>
        <w:t>vests, it is generally thought that the ratio of increase will be found to be greater. The increase of the manufactur</w:t>
        <w:softHyphen/>
        <w:t>ing districts generally was much greater, for the most part exceeding twenty per cent. With the moderate addition of fifteen per cent. for the increase of the woollen manu</w:t>
        <w:softHyphen/>
        <w:t>facture in 1841, as compared with 1831, we have 226,298 families, consisting of 1,218,424 persons, dependent on the woollen manufacture for their subsistence.@@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When we consider that our manufactures employ 1,350,239 families, and that the woollen manufacture requires a greater num</w:t>
        <w:softHyphen/>
        <w:t>ber of manual operations than any other, we are inclined to think our estimate within the truth.</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95" w:left="1436" w:right="2034" w:bottom="1240" w:header="0" w:footer="3" w:gutter="0"/>
          <w:cols w:space="720"/>
          <w:noEndnote/>
          <w:rtlGutter w:val="0"/>
          <w:docGrid w:linePitch="360"/>
        </w:sectPr>
      </w:pPr>
      <w:r>
        <w:rPr>
          <w:color w:val="000000"/>
          <w:spacing w:val="0"/>
          <w:w w:val="100"/>
          <w:position w:val="0"/>
          <w:shd w:val="clear" w:color="auto" w:fill="auto"/>
          <w:lang w:val="en-US" w:eastAsia="en-US" w:bidi="en-US"/>
        </w:rPr>
        <w:t>Although the quantity produced, and amount of capital employed, in the manufacture, is a subject of difficulty, and all calculations are mere approximations, more or less re</w:t>
        <w:softHyphen/>
        <w:t>mote, according to the care with which the calculations were made, the quantity exported is more accurately ascer</w:t>
        <w:softHyphen/>
        <w:t>tained ; and the following table conveys the most recent account published.</w:t>
      </w:r>
    </w:p>
    <w:p>
      <w:pPr>
        <w:pStyle w:val="Style7"/>
        <w:keepNext w:val="0"/>
        <w:keepLines w:val="0"/>
        <w:widowControl w:val="0"/>
        <w:shd w:val="clear" w:color="auto" w:fill="auto"/>
        <w:bidi w:val="0"/>
        <w:spacing w:line="240" w:lineRule="auto"/>
        <w:ind w:left="283" w:firstLine="0"/>
        <w:jc w:val="left"/>
      </w:pPr>
      <w:r>
        <w:rPr>
          <w:i/>
          <w:iCs/>
          <w:color w:val="000000"/>
          <w:spacing w:val="0"/>
          <w:w w:val="100"/>
          <w:position w:val="0"/>
          <w:shd w:val="clear" w:color="auto" w:fill="auto"/>
          <w:lang w:val="en-US" w:eastAsia="en-US" w:bidi="en-US"/>
        </w:rPr>
        <w:t>An Account of the Quantity of Woollen Manufactures exported in thc year</w:t>
      </w:r>
      <w:r>
        <w:rPr>
          <w:color w:val="000000"/>
          <w:spacing w:val="0"/>
          <w:w w:val="100"/>
          <w:position w:val="0"/>
          <w:shd w:val="clear" w:color="auto" w:fill="auto"/>
          <w:lang w:val="en-US" w:eastAsia="en-US" w:bidi="en-US"/>
        </w:rPr>
        <w:t xml:space="preserve"> 1838, </w:t>
      </w:r>
      <w:r>
        <w:rPr>
          <w:i/>
          <w:iCs/>
          <w:color w:val="000000"/>
          <w:spacing w:val="0"/>
          <w:w w:val="100"/>
          <w:position w:val="0"/>
          <w:shd w:val="clear" w:color="auto" w:fill="auto"/>
          <w:lang w:val="en-US" w:eastAsia="en-US" w:bidi="en-US"/>
        </w:rPr>
        <w:t>shewing the Country to which each Article was sent.</w:t>
      </w:r>
    </w:p>
    <w:tbl>
      <w:tblPr>
        <w:tblOverlap w:val="never"/>
        <w:jc w:val="left"/>
        <w:tblLayout w:type="fixed"/>
      </w:tblPr>
      <w:tblGrid>
        <w:gridCol w:w="1765"/>
        <w:gridCol w:w="557"/>
        <w:gridCol w:w="469"/>
        <w:gridCol w:w="446"/>
        <w:gridCol w:w="455"/>
        <w:gridCol w:w="353"/>
        <w:gridCol w:w="557"/>
        <w:gridCol w:w="571"/>
        <w:gridCol w:w="571"/>
        <w:gridCol w:w="451"/>
        <w:gridCol w:w="562"/>
        <w:gridCol w:w="418"/>
        <w:gridCol w:w="246"/>
        <w:gridCol w:w="674"/>
        <w:gridCol w:w="581"/>
      </w:tblGrid>
      <w:tr>
        <w:trPr>
          <w:trHeight w:val="725"/>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Countries.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Woollen Yarn.</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Cloths of all Sorts.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Napped Coat</w:t>
              <w:softHyphen/>
              <w:t>ings,</w:t>
            </w:r>
          </w:p>
          <w:p>
            <w:pPr>
              <w:pStyle w:val="Style5"/>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Duffles, &amp;c.</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4" w:lineRule="auto"/>
              <w:ind w:left="0" w:firstLine="0"/>
              <w:jc w:val="left"/>
              <w:rPr>
                <w:sz w:val="12"/>
                <w:szCs w:val="12"/>
              </w:rPr>
            </w:pPr>
            <w:r>
              <w:rPr>
                <w:b/>
                <w:bCs/>
                <w:color w:val="000000"/>
                <w:spacing w:val="0"/>
                <w:w w:val="100"/>
                <w:position w:val="0"/>
                <w:sz w:val="12"/>
                <w:szCs w:val="12"/>
                <w:shd w:val="clear" w:color="auto" w:fill="auto"/>
                <w:lang w:val="en-US" w:eastAsia="en-US" w:bidi="en-US"/>
              </w:rPr>
              <w:t>Kersey</w:t>
              <w:softHyphen/>
              <w:t>meres.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Baizes of all Sorto.</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Stuffs</w:t>
            </w:r>
          </w:p>
          <w:p>
            <w:pPr>
              <w:pStyle w:val="Style5"/>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Woollen or Worsted.</w:t>
            </w:r>
          </w:p>
        </w:tc>
        <w:tc>
          <w:tcPr>
            <w:tcBorders>
              <w:top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Flannels.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2" w:lineRule="auto"/>
              <w:ind w:left="0" w:firstLine="0"/>
              <w:jc w:val="left"/>
              <w:rPr>
                <w:sz w:val="12"/>
                <w:szCs w:val="12"/>
              </w:rPr>
            </w:pPr>
            <w:r>
              <w:rPr>
                <w:b/>
                <w:bCs/>
                <w:color w:val="000000"/>
                <w:spacing w:val="0"/>
                <w:w w:val="100"/>
                <w:position w:val="0"/>
                <w:sz w:val="12"/>
                <w:szCs w:val="12"/>
                <w:shd w:val="clear" w:color="auto" w:fill="auto"/>
                <w:lang w:val="en-US" w:eastAsia="en-US" w:bidi="en-US"/>
              </w:rPr>
              <w:t>Blankets and Blanket</w:t>
              <w:softHyphen/>
              <w:t>ing.</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2" w:lineRule="auto"/>
              <w:ind w:left="0" w:firstLine="0"/>
              <w:jc w:val="left"/>
              <w:rPr>
                <w:sz w:val="12"/>
                <w:szCs w:val="12"/>
              </w:rPr>
            </w:pPr>
            <w:r>
              <w:rPr>
                <w:b/>
                <w:bCs/>
                <w:color w:val="000000"/>
                <w:spacing w:val="0"/>
                <w:w w:val="100"/>
                <w:position w:val="0"/>
                <w:sz w:val="12"/>
                <w:szCs w:val="12"/>
                <w:shd w:val="clear" w:color="auto" w:fill="auto"/>
                <w:lang w:val="en-US" w:eastAsia="en-US" w:bidi="en-US"/>
              </w:rPr>
              <w:t>Carpets and Carpet</w:t>
              <w:softHyphen/>
              <w:t>ing.</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Woollens Mixed with Cotton.</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Hosiery. Stockings, Woollen or Worsted.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Sundries, Coverlids, Rugs, Tapes, and Small Wares.</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190" w:lineRule="auto"/>
              <w:ind w:left="0" w:firstLine="0"/>
              <w:jc w:val="left"/>
              <w:rPr>
                <w:sz w:val="12"/>
                <w:szCs w:val="12"/>
              </w:rPr>
            </w:pPr>
            <w:r>
              <w:rPr>
                <w:b/>
                <w:bCs/>
                <w:color w:val="000000"/>
                <w:spacing w:val="0"/>
                <w:w w:val="100"/>
                <w:position w:val="0"/>
                <w:sz w:val="12"/>
                <w:szCs w:val="12"/>
                <w:shd w:val="clear" w:color="auto" w:fill="auto"/>
                <w:lang w:val="en-US" w:eastAsia="en-US" w:bidi="en-US"/>
              </w:rPr>
              <w:t>Declared Value of Woollen Goods.</w:t>
            </w:r>
          </w:p>
        </w:tc>
      </w:tr>
      <w:tr>
        <w:trPr>
          <w:trHeight w:val="14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Lbs.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Pieces.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Pieces.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Pieces.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Pieces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Pieces.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Yards.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Yards.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Yards.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Yards.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Doz.</w:t>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Prs</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L.</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L.</w:t>
            </w:r>
          </w:p>
        </w:tc>
      </w:tr>
      <w:tr>
        <w:trPr>
          <w:trHeight w:val="111"/>
        </w:trPr>
        <w:tc>
          <w:tcPr>
            <w:tcBorders>
              <w:left w:val="single" w:sz="4"/>
            </w:tcBorders>
            <w:shd w:val="clear" w:color="auto" w:fill="FFFFFF"/>
            <w:vAlign w:val="bottom"/>
          </w:tcPr>
          <w:p>
            <w:pPr>
              <w:pStyle w:val="Style5"/>
              <w:keepNext w:val="0"/>
              <w:keepLines w:val="0"/>
              <w:widowControl w:val="0"/>
              <w:shd w:val="clear" w:color="auto" w:fill="auto"/>
              <w:tabs>
                <w:tab w:leader="dot" w:pos="1449" w:val="left"/>
              </w:tabs>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Russia,</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144,308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1,713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35,063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11,909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72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10.212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23,860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31</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343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94,419</w:t>
            </w:r>
          </w:p>
        </w:tc>
      </w:tr>
      <w:tr>
        <w:trPr>
          <w:trHeight w:val="107"/>
        </w:trPr>
        <w:tc>
          <w:tcPr>
            <w:tcBorders>
              <w:left w:val="single" w:sz="4"/>
            </w:tcBorders>
            <w:shd w:val="clear" w:color="auto" w:fill="FFFFFF"/>
            <w:vAlign w:val="top"/>
          </w:tcPr>
          <w:p>
            <w:pPr>
              <w:pStyle w:val="Style5"/>
              <w:keepNext w:val="0"/>
              <w:keepLines w:val="0"/>
              <w:widowControl w:val="0"/>
              <w:shd w:val="clear" w:color="auto" w:fill="auto"/>
              <w:tabs>
                <w:tab w:leader="dot" w:pos="1547" w:val="left"/>
              </w:tabs>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Sweden,</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1,355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71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7,731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1,409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1,270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1.204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2,490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61</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67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13,899</w:t>
            </w:r>
          </w:p>
        </w:tc>
      </w:tr>
      <w:tr>
        <w:trPr>
          <w:trHeight w:val="107"/>
        </w:trPr>
        <w:tc>
          <w:tcPr>
            <w:tcBorders>
              <w:left w:val="single" w:sz="4"/>
            </w:tcBorders>
            <w:shd w:val="clear" w:color="auto" w:fill="FFFFFF"/>
            <w:vAlign w:val="bottom"/>
          </w:tcPr>
          <w:p>
            <w:pPr>
              <w:pStyle w:val="Style5"/>
              <w:keepNext w:val="0"/>
              <w:keepLines w:val="0"/>
              <w:widowControl w:val="0"/>
              <w:shd w:val="clear" w:color="auto" w:fill="auto"/>
              <w:tabs>
                <w:tab w:pos="660" w:val="left"/>
              </w:tabs>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Norway,</w:t>
              <w:tab/>
            </w: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390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418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89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2,395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4,413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1,088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1,345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871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403</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438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10,978</w:t>
            </w:r>
          </w:p>
        </w:tc>
      </w:tr>
      <w:tr>
        <w:trPr>
          <w:trHeight w:val="111"/>
        </w:trPr>
        <w:tc>
          <w:tcPr>
            <w:tcBorders>
              <w:left w:val="single" w:sz="4"/>
            </w:tcBorders>
            <w:shd w:val="clear" w:color="auto" w:fill="FFFFFF"/>
            <w:vAlign w:val="bottom"/>
          </w:tcPr>
          <w:p>
            <w:pPr>
              <w:pStyle w:val="Style5"/>
              <w:keepNext w:val="0"/>
              <w:keepLines w:val="0"/>
              <w:widowControl w:val="0"/>
              <w:shd w:val="clear" w:color="auto" w:fill="auto"/>
              <w:tabs>
                <w:tab w:pos="780" w:val="left"/>
              </w:tabs>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Denmark,</w:t>
              <w:tab/>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264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177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714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22</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96</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1,373</w:t>
            </w:r>
          </w:p>
        </w:tc>
      </w:tr>
      <w:tr>
        <w:trPr>
          <w:trHeight w:val="102"/>
        </w:trPr>
        <w:tc>
          <w:tcPr>
            <w:tcBorders>
              <w:left w:val="single" w:sz="4"/>
            </w:tcBorders>
            <w:shd w:val="clear" w:color="auto" w:fill="FFFFFF"/>
            <w:vAlign w:val="bottom"/>
          </w:tcPr>
          <w:p>
            <w:pPr>
              <w:pStyle w:val="Style5"/>
              <w:keepNext w:val="0"/>
              <w:keepLines w:val="0"/>
              <w:widowControl w:val="0"/>
              <w:shd w:val="clear" w:color="auto" w:fill="auto"/>
              <w:tabs>
                <w:tab w:pos="660" w:val="left"/>
              </w:tabs>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Prussia,</w:t>
              <w:tab/>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3,201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3,000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685</w:t>
            </w:r>
          </w:p>
        </w:tc>
      </w:tr>
      <w:tr>
        <w:trPr>
          <w:trHeight w:val="111"/>
        </w:trPr>
        <w:tc>
          <w:tcPr>
            <w:tcBorders>
              <w:left w:val="single" w:sz="4"/>
            </w:tcBorders>
            <w:shd w:val="clear" w:color="auto" w:fill="FFFFFF"/>
            <w:vAlign w:val="bottom"/>
          </w:tcPr>
          <w:p>
            <w:pPr>
              <w:pStyle w:val="Style5"/>
              <w:keepNext w:val="0"/>
              <w:keepLines w:val="0"/>
              <w:widowControl w:val="0"/>
              <w:shd w:val="clear" w:color="auto" w:fill="auto"/>
              <w:tabs>
                <w:tab w:pos="766" w:val="left"/>
              </w:tabs>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Germany,</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1,647,680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13,061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11,593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4,723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466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346,034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342,650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11,600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59,646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282,924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1,576</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12,647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734,902</w:t>
            </w:r>
          </w:p>
        </w:tc>
      </w:tr>
      <w:tr>
        <w:trPr>
          <w:trHeight w:val="107"/>
        </w:trPr>
        <w:tc>
          <w:tcPr>
            <w:tcBorders>
              <w:left w:val="single" w:sz="4"/>
            </w:tcBorders>
            <w:shd w:val="clear" w:color="auto" w:fill="FFFFFF"/>
            <w:vAlign w:val="top"/>
          </w:tcPr>
          <w:p>
            <w:pPr>
              <w:pStyle w:val="Style5"/>
              <w:keepNext w:val="0"/>
              <w:keepLines w:val="0"/>
              <w:widowControl w:val="0"/>
              <w:shd w:val="clear" w:color="auto" w:fill="auto"/>
              <w:tabs>
                <w:tab w:leader="dot" w:pos="1445" w:val="left"/>
              </w:tabs>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Holland</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600,291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2,755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6,970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924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17,052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96,778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190,110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2,360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44,711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30,356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9,104</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7,161</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299.503</w:t>
            </w:r>
          </w:p>
        </w:tc>
      </w:tr>
      <w:tr>
        <w:trPr>
          <w:trHeight w:val="107"/>
        </w:trPr>
        <w:tc>
          <w:tcPr>
            <w:tcBorders>
              <w:left w:val="single" w:sz="4"/>
            </w:tcBorders>
            <w:shd w:val="clear" w:color="auto" w:fill="FFFFFF"/>
            <w:vAlign w:val="bottom"/>
          </w:tcPr>
          <w:p>
            <w:pPr>
              <w:pStyle w:val="Style5"/>
              <w:keepNext w:val="0"/>
              <w:keepLines w:val="0"/>
              <w:widowControl w:val="0"/>
              <w:shd w:val="clear" w:color="auto" w:fill="auto"/>
              <w:tabs>
                <w:tab w:leader="dot" w:pos="1561" w:val="left"/>
              </w:tabs>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Belgium</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113,485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694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5,693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810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248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70,081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216,139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2,410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17,131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123,260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6,746</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2,030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160,451</w:t>
            </w:r>
          </w:p>
        </w:tc>
      </w:tr>
      <w:tr>
        <w:trPr>
          <w:trHeight w:val="102"/>
        </w:trPr>
        <w:tc>
          <w:tcPr>
            <w:tcBorders>
              <w:left w:val="single" w:sz="4"/>
            </w:tcBorders>
            <w:shd w:val="clear" w:color="auto" w:fill="FFFFFF"/>
            <w:vAlign w:val="bottom"/>
          </w:tcPr>
          <w:p>
            <w:pPr>
              <w:pStyle w:val="Style5"/>
              <w:keepNext w:val="0"/>
              <w:keepLines w:val="0"/>
              <w:widowControl w:val="0"/>
              <w:shd w:val="clear" w:color="auto" w:fill="auto"/>
              <w:tabs>
                <w:tab w:pos="674" w:val="left"/>
              </w:tabs>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France,</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140,254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560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436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71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22,152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20,330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1,185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17,111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71.843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98</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603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53,708</w:t>
            </w:r>
          </w:p>
        </w:tc>
      </w:tr>
      <w:tr>
        <w:trPr>
          <w:trHeight w:val="11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 xml:space="preserve">Portugal, </w:t>
            </w:r>
            <w:r>
              <w:rPr>
                <w:b/>
                <w:bCs/>
                <w:color w:val="000000"/>
                <w:spacing w:val="0"/>
                <w:w w:val="100"/>
                <w:position w:val="0"/>
                <w:sz w:val="12"/>
                <w:szCs w:val="12"/>
                <w:shd w:val="clear" w:color="auto" w:fill="auto"/>
                <w:lang w:val="fr-FR" w:eastAsia="fr-FR" w:bidi="fr-FR"/>
              </w:rPr>
              <w:t xml:space="preserve">Azores, </w:t>
            </w:r>
            <w:r>
              <w:rPr>
                <w:b/>
                <w:bCs/>
                <w:color w:val="000000"/>
                <w:spacing w:val="0"/>
                <w:w w:val="100"/>
                <w:position w:val="0"/>
                <w:sz w:val="12"/>
                <w:szCs w:val="12"/>
                <w:shd w:val="clear" w:color="auto" w:fill="auto"/>
                <w:lang w:val="en-US" w:eastAsia="en-US" w:bidi="en-US"/>
              </w:rPr>
              <w:t>&amp;c.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3.806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30,630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225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1,530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8,298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27,579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5,970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2,389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2,480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31,962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314</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1,135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224,383</w:t>
            </w:r>
          </w:p>
        </w:tc>
      </w:tr>
      <w:tr>
        <w:trPr>
          <w:trHeight w:val="10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Spain and the Canaries,</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435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862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153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1,538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18.260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9,174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10,200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895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1,863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216</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266</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44,054</w:t>
            </w:r>
          </w:p>
        </w:tc>
      </w:tr>
      <w:tr>
        <w:trPr>
          <w:trHeight w:val="111"/>
        </w:trPr>
        <w:tc>
          <w:tcPr>
            <w:tcBorders>
              <w:left w:val="single" w:sz="4"/>
            </w:tcBorders>
            <w:shd w:val="clear" w:color="auto" w:fill="FFFFFF"/>
            <w:vAlign w:val="bottom"/>
          </w:tcPr>
          <w:p>
            <w:pPr>
              <w:pStyle w:val="Style5"/>
              <w:keepNext w:val="0"/>
              <w:keepLines w:val="0"/>
              <w:widowControl w:val="0"/>
              <w:shd w:val="clear" w:color="auto" w:fill="auto"/>
              <w:tabs>
                <w:tab w:pos="771" w:val="left"/>
                <w:tab w:pos="1291" w:val="left"/>
                <w:tab w:pos="1538" w:val="left"/>
              </w:tabs>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Gibraltar,</w:t>
              <w:tab/>
              <w:t>.</w:t>
              <w:tab/>
              <w:t>.</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1,099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3,234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71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636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107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11,102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11,434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2,240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4,885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33,878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358</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1,098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55,700</w:t>
            </w:r>
          </w:p>
        </w:tc>
      </w:tr>
      <w:tr>
        <w:trPr>
          <w:trHeight w:val="111"/>
        </w:trPr>
        <w:tc>
          <w:tcPr>
            <w:tcBorders>
              <w:left w:val="single" w:sz="4"/>
            </w:tcBorders>
            <w:shd w:val="clear" w:color="auto" w:fill="FFFFFF"/>
            <w:vAlign w:val="top"/>
          </w:tcPr>
          <w:p>
            <w:pPr>
              <w:pStyle w:val="Style5"/>
              <w:keepNext w:val="0"/>
              <w:keepLines w:val="0"/>
              <w:widowControl w:val="0"/>
              <w:shd w:val="clear" w:color="auto" w:fill="auto"/>
              <w:tabs>
                <w:tab w:leader="dot" w:pos="1565" w:val="left"/>
              </w:tabs>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ltaly</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63,831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13.198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1,731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114,578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22,253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2.836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32,206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171,000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1,939</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2,570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258,157</w:t>
            </w:r>
          </w:p>
        </w:tc>
      </w:tr>
      <w:tr>
        <w:trPr>
          <w:trHeight w:val="102"/>
        </w:trPr>
        <w:tc>
          <w:tcPr>
            <w:tcBorders>
              <w:left w:val="single" w:sz="4"/>
            </w:tcBorders>
            <w:shd w:val="clear" w:color="auto" w:fill="FFFFFF"/>
            <w:vAlign w:val="top"/>
          </w:tcPr>
          <w:p>
            <w:pPr>
              <w:pStyle w:val="Style5"/>
              <w:keepNext w:val="0"/>
              <w:keepLines w:val="0"/>
              <w:widowControl w:val="0"/>
              <w:shd w:val="clear" w:color="auto" w:fill="auto"/>
              <w:tabs>
                <w:tab w:leader="dot" w:pos="1468" w:val="left"/>
              </w:tabs>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Malta,</w:t>
              <w:tab/>
            </w:r>
          </w:p>
        </w:tc>
        <w:tc>
          <w:tcPr>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1,789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116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2.270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3,993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2,460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2,137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4,500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93</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190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16,245</w:t>
            </w:r>
          </w:p>
        </w:tc>
      </w:tr>
      <w:tr>
        <w:trPr>
          <w:trHeight w:val="10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Ionian Islands,</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78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1,021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4,340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620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410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3,140</w:t>
            </w:r>
          </w:p>
        </w:tc>
      </w:tr>
      <w:tr>
        <w:trPr>
          <w:trHeight w:val="107"/>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Turkey and Greece,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2,369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10,332</w:t>
            </w:r>
          </w:p>
        </w:tc>
        <w:tc>
          <w:tcPr>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8,185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1,872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4,004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2.458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117</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1,022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25,083</w:t>
            </w:r>
          </w:p>
        </w:tc>
      </w:tr>
      <w:tr>
        <w:trPr>
          <w:trHeight w:val="102"/>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Morea and Greek Islands.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200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303</w:t>
            </w:r>
          </w:p>
        </w:tc>
      </w:tr>
      <w:tr>
        <w:trPr>
          <w:trHeight w:val="111"/>
        </w:trPr>
        <w:tc>
          <w:tcPr>
            <w:tcBorders>
              <w:left w:val="single" w:sz="4"/>
            </w:tcBorders>
            <w:shd w:val="clear" w:color="auto" w:fill="FFFFFF"/>
            <w:vAlign w:val="bottom"/>
          </w:tcPr>
          <w:p>
            <w:pPr>
              <w:pStyle w:val="Style5"/>
              <w:keepNext w:val="0"/>
              <w:keepLines w:val="0"/>
              <w:widowControl w:val="0"/>
              <w:shd w:val="clear" w:color="auto" w:fill="auto"/>
              <w:tabs>
                <w:tab w:leader="dot" w:pos="1463" w:val="left"/>
              </w:tabs>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Morocco</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1,800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412</w:t>
            </w:r>
          </w:p>
        </w:tc>
      </w:tr>
      <w:tr>
        <w:trPr>
          <w:trHeight w:val="102"/>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Syria and Palestine,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6"/>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East Indies and china,</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1,176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92,297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342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138,667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112,497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54,231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41,308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51,116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874</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4.364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619,345</w:t>
            </w:r>
          </w:p>
        </w:tc>
      </w:tr>
      <w:tr>
        <w:trPr>
          <w:trHeight w:val="10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New Holland, &amp;c.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252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4,957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116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10,028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62,658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239,940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52,610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23,975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6,007</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8,124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104,120</w:t>
            </w:r>
          </w:p>
        </w:tc>
      </w:tr>
      <w:tr>
        <w:trPr>
          <w:trHeight w:val="107"/>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Cape of Good Hope,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3,709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1,346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1,792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826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11,334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59,276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34,140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18,865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14,081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2,030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2,881</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64,778</w:t>
            </w:r>
          </w:p>
        </w:tc>
      </w:tr>
      <w:tr>
        <w:trPr>
          <w:trHeight w:val="10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Africa (other parts),</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555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2,306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173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208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5,719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6,355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9,970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230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22,618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106</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3,251</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32,448</w:t>
            </w:r>
          </w:p>
        </w:tc>
      </w:tr>
      <w:tr>
        <w:trPr>
          <w:trHeight w:val="107"/>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British North Amer. Colonies,</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10,991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52.394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540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1,344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509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34,191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384,584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260,844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123.723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60,529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17,322</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22,542</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359,632</w:t>
            </w:r>
          </w:p>
        </w:tc>
      </w:tr>
      <w:tr>
        <w:trPr>
          <w:trHeight w:val="107"/>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British West Indies,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7,191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378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3,8000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12,703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74,380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163,810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3,354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21,786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1,540</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10,017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95,412</w:t>
            </w:r>
          </w:p>
        </w:tc>
      </w:tr>
      <w:tr>
        <w:trPr>
          <w:trHeight w:val="107"/>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United States,</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322,003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258,314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62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13,999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447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315,542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120.583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1,482,551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200,648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631,265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57,998</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30,290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1,854,960</w:t>
            </w:r>
          </w:p>
        </w:tc>
      </w:tr>
      <w:tr>
        <w:trPr>
          <w:trHeight w:val="11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Foreign W</w:t>
            </w:r>
            <w:r>
              <w:rPr>
                <w:b/>
                <w:bCs/>
                <w:color w:val="000000"/>
                <w:spacing w:val="0"/>
                <w:w w:val="100"/>
                <w:position w:val="0"/>
                <w:sz w:val="12"/>
                <w:szCs w:val="12"/>
                <w:shd w:val="clear" w:color="auto" w:fill="auto"/>
                <w:lang w:val="fr-FR" w:eastAsia="fr-FR" w:bidi="fr-FR"/>
              </w:rPr>
              <w:t xml:space="preserve">est </w:t>
            </w:r>
            <w:r>
              <w:rPr>
                <w:b/>
                <w:bCs/>
                <w:color w:val="000000"/>
                <w:spacing w:val="0"/>
                <w:w w:val="100"/>
                <w:position w:val="0"/>
                <w:sz w:val="12"/>
                <w:szCs w:val="12"/>
                <w:shd w:val="clear" w:color="auto" w:fill="auto"/>
                <w:lang w:val="en-US" w:eastAsia="en-US" w:bidi="en-US"/>
              </w:rPr>
              <w:t xml:space="preserve">Indies,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1,540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8,221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363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9,115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3,448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107,304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4,619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11,626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505</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2,704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65.882</w:t>
            </w:r>
          </w:p>
        </w:tc>
      </w:tr>
      <w:tr>
        <w:trPr>
          <w:trHeight w:val="102"/>
        </w:trPr>
        <w:tc>
          <w:tcPr>
            <w:tcBorders>
              <w:left w:val="single" w:sz="4"/>
            </w:tcBorders>
            <w:shd w:val="clear" w:color="auto" w:fill="FFFFFF"/>
            <w:vAlign w:val="bottom"/>
          </w:tcPr>
          <w:p>
            <w:pPr>
              <w:pStyle w:val="Style5"/>
              <w:keepNext w:val="0"/>
              <w:keepLines w:val="0"/>
              <w:widowControl w:val="0"/>
              <w:shd w:val="clear" w:color="auto" w:fill="auto"/>
              <w:tabs>
                <w:tab w:leader="dot" w:pos="1612" w:val="left"/>
              </w:tabs>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Brazil,</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40,378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575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9"/>
                <w:szCs w:val="9"/>
              </w:rPr>
            </w:pPr>
            <w:r>
              <w:rPr>
                <w:rFonts w:ascii="Arial" w:eastAsia="Arial" w:hAnsi="Arial" w:cs="Arial"/>
                <w:smallCaps/>
                <w:color w:val="000000"/>
                <w:spacing w:val="0"/>
                <w:w w:val="100"/>
                <w:position w:val="0"/>
                <w:sz w:val="9"/>
                <w:szCs w:val="9"/>
                <w:shd w:val="clear" w:color="auto" w:fill="auto"/>
                <w:lang w:val="en-US" w:eastAsia="en-US" w:bidi="en-US"/>
              </w:rPr>
              <w:t>5,349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29,756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6,000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107,728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6.960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137,735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1,291</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3,834</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228,932</w:t>
            </w:r>
          </w:p>
        </w:tc>
      </w:tr>
      <w:tr>
        <w:trPr>
          <w:trHeight w:val="111"/>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Mexico and South America,</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364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43,730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5,354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2,266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22,639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11,905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36,659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58,608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85,211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843</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3,068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332,348</w:t>
            </w:r>
          </w:p>
        </w:tc>
      </w:tr>
      <w:tr>
        <w:trPr>
          <w:trHeight w:val="181"/>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Guernsey, Jersey, &amp;c.</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32,039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2,833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56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87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3,311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85,127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19,127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14,259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162</w:t>
            </w:r>
          </w:p>
        </w:tc>
        <w:tc>
          <w:tcPr>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2,051</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40,531</w:t>
            </w:r>
          </w:p>
        </w:tc>
      </w:tr>
      <w:tr>
        <w:trPr>
          <w:trHeight w:val="195"/>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b/>
                <w:bCs/>
                <w:color w:val="000000"/>
                <w:spacing w:val="0"/>
                <w:w w:val="100"/>
                <w:position w:val="0"/>
                <w:sz w:val="12"/>
                <w:szCs w:val="12"/>
                <w:shd w:val="clear" w:color="auto" w:fill="auto"/>
                <w:lang w:val="en-US" w:eastAsia="en-US" w:bidi="en-US"/>
              </w:rPr>
              <w:t>Total,</w:t>
            </w:r>
          </w:p>
        </w:tc>
        <w:tc>
          <w:tcPr>
            <w:tcBorders>
              <w:top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3,085,890</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587,903</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26,847</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36,128</w:t>
            </w:r>
          </w:p>
        </w:tc>
        <w:tc>
          <w:tcPr>
            <w:tcBorders>
              <w:top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w:t>
            </w:r>
            <w:r>
              <w:rPr>
                <w:b/>
                <w:bCs/>
                <w:color w:val="000000"/>
                <w:spacing w:val="0"/>
                <w:w w:val="100"/>
                <w:position w:val="0"/>
                <w:sz w:val="12"/>
                <w:szCs w:val="12"/>
                <w:shd w:val="clear" w:color="auto" w:fill="auto"/>
                <w:lang w:val="en-US" w:eastAsia="en-US" w:bidi="en-US"/>
              </w:rPr>
              <w:t>41,813</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1,358,984</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1,779,525</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2.658,806</w:t>
            </w:r>
          </w:p>
        </w:tc>
        <w:tc>
          <w:tcPr>
            <w:tcBorders>
              <w:top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727,539</w:t>
            </w:r>
          </w:p>
        </w:tc>
        <w:tc>
          <w:tcPr>
            <w:gridSpan w:val="3"/>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1,846,231 109,758</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123,335</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5,796,069</w:t>
            </w:r>
          </w:p>
        </w:tc>
      </w:tr>
    </w:tbl>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vertAlign w:val="superscript"/>
          <w:lang w:val="en-US" w:eastAsia="en-US" w:bidi="en-US"/>
        </w:rPr>
        <w:t>@@@l</w:t>
      </w:r>
      <w:r>
        <w:rPr>
          <w:color w:val="000000"/>
          <w:spacing w:val="0"/>
          <w:w w:val="100"/>
          <w:position w:val="0"/>
          <w:sz w:val="13"/>
          <w:szCs w:val="13"/>
          <w:shd w:val="clear" w:color="auto" w:fill="auto"/>
          <w:lang w:val="en-US" w:eastAsia="en-US" w:bidi="en-US"/>
        </w:rPr>
        <w:t xml:space="preserve"> Mr M'Culloch, in his Statistical Account of the British Empire, estimates the number of people employed in 1826 at 334,000. This is not inconsistent with our estimate of 226,298 families in 1841.</w:t>
      </w:r>
    </w:p>
    <w:sectPr>
      <w:footnotePr>
        <w:pos w:val="pageBottom"/>
        <w:numFmt w:val="decimal"/>
        <w:numRestart w:val="continuous"/>
      </w:footnotePr>
      <w:type w:val="continuous"/>
      <w:pgSz w:w="12240" w:h="15840"/>
      <w:pgMar w:top="1495" w:left="1376" w:right="2015" w:bottom="12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Table caption_"/>
    <w:basedOn w:val="DefaultParagraphFont"/>
    <w:link w:val="Style7"/>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Table caption"/>
    <w:basedOn w:val="Normal"/>
    <w:link w:val="CharStyle8"/>
    <w:pPr>
      <w:widowControl w:val="0"/>
      <w:shd w:val="clear" w:color="auto" w:fill="FFFFFF"/>
      <w:spacing w:line="226" w:lineRule="auto"/>
      <w:ind w:firstLine="2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