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51"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mitted, in which the fields lay unsown, the vines grew unpruned, and even the natural produce was not gathered in. That this law was not observed before the captivity we learn from Lev. xxvi. 34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indeed so long as the Hebrews were an agricultural people with little trade, in a land often ravaged by severe famines, such a law could not have been observed. Even in later times it was occasion</w:t>
        <w:softHyphen/>
        <w:t xml:space="preserve">ally productive of great distress (1 Mac. vi. 49, 53 ; Jos., </w:t>
      </w:r>
      <w:r>
        <w:rPr>
          <w:rFonts w:ascii="Times New Roman" w:eastAsia="Times New Roman" w:hAnsi="Times New Roman" w:cs="Times New Roman"/>
          <w:i/>
          <w:iCs/>
          <w:color w:val="000000"/>
          <w:spacing w:val="0"/>
          <w:w w:val="100"/>
          <w:position w:val="0"/>
          <w:shd w:val="clear" w:color="auto" w:fill="auto"/>
          <w:lang w:val="en-US" w:eastAsia="en-US" w:bidi="en-US"/>
        </w:rPr>
        <w:t>Antt.,</w:t>
      </w:r>
      <w:r>
        <w:rPr>
          <w:rFonts w:ascii="Times New Roman" w:eastAsia="Times New Roman" w:hAnsi="Times New Roman" w:cs="Times New Roman"/>
          <w:color w:val="000000"/>
          <w:spacing w:val="0"/>
          <w:w w:val="100"/>
          <w:position w:val="0"/>
          <w:shd w:val="clear" w:color="auto" w:fill="auto"/>
          <w:lang w:val="en-US" w:eastAsia="en-US" w:bidi="en-US"/>
        </w:rPr>
        <w:t xml:space="preserve"> xiv. 16, 2). In the older legislation, however, we already meet with a seven years’ period in more than one connexion. The release of a Hebrew servant after six years’ labour (Exod. xxi. 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Deut. xv. 12 sq.) has only a remote analogy to the Sabbatical year. But in Exod. xxiii. 10, 11 it is prescribed that the crop of every seventh year (apparently the self-sown crop) shall be left for the poor, and after them for the beasts. The difference between this and the later law is that the seventh year is not called a Sabbath, and that there is no indication that all land was to lie fallow on the same year. In this form a law prescribing one year’s fallow in seven may have been anciently observed. It is extended in ver. 11 to the vineyard and the olive oil, but here the culture necessary to keep the vines and olive trees in order is not forbidden ; the precept is only that the produce is to be left to the poor. In Deuteronomy this law is not repeated, but a fixed seven years’ period is ordained for the benefit of poor debtors, apparently in the sense that in the seventh year no interest is to be exacted by the creditor from a Hebrew, or that no proceedings are to be taken against the debtor in that year (Deut. xv. 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ab/>
        <w:t>(W. R. 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SABELLIUS. Even after the elimination of Gnosti</w:t>
        <w:softHyphen/>
        <w:t>cism the church remained without any unifor</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Christolo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y; the Trinitarians and the Unitarians continued to confront each other, the latter at the be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innin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of the 3d century still forming the large majority. These in turn split into two principal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roups—the Adoptianists and the Modalists —the former holdin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Christ to be the man chosen of God, on whom the Holy Spirit rested in a quite unique sense, and who after toil and suffering, throu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 His oneness of will with God, became divine, the latter maintainin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Christ to be a manifestation of God Himself. Both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roups had their scientific theologians who sought to vindicate their characteristic doctrines, the Adoptianist divines holding by the Aristotelian philosophy, and the Modalists by that of the Stoics; while the Trinitarians (Tertullian, Hippolytus, Origen, Novatian), on the other hand, appealed to Plato.</w:t>
      </w:r>
    </w:p>
    <w:p>
      <w:pPr>
        <w:pStyle w:val="Style6"/>
        <w:keepNext w:val="0"/>
        <w:keepLines w:val="0"/>
        <w:widowControl w:val="0"/>
        <w:shd w:val="clear" w:color="auto" w:fill="auto"/>
        <w:bidi w:val="0"/>
        <w:spacing w:line="223"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Rome Modalism was the doctrine which prevailed from Victor to Calixtus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190-220). The bishops just named protected within the city the schools of Epigonus and Cleomenes, where it was tau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ht that the Son is identical with the Father. But the presbyter Hippolytus was successful in convincing the leaders of that church that the Modalistic doctrine taken in its strictness was contrary to Scripture. Bishop Calixtus saw himself under the necessity of abandoning his friends and setting up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ediatin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formula designed to harmonize the Trinitarian and the Modalistic positions. But, while excommunicating the strict Unitarians (Monarchians), he also too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same course with Hippolytus and his followers, declarin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teachin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ditheism.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ediation formula, however, proposed by Calixtus became the bridge by which, in the course of the decades immediately followin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doctrine of the Trinity made its way into the Roman Church. In the year 250, when the Roman presbyter Novatian wrote his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Trinitate,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doctrine of Hippolytus, once discredited as ditheism, had already become official there. At the same time Rome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ost of the other churches of the West still retained a certain leaning towards Modalistic monarchianism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appears, on the one hand, in the use of expressions having a Modalistic ring about them—see especially the poe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s of Commodian, written about the time of Valerian—and, on the other hand, in the rejection of the doctrine that the Son is subordinate to the Father and is a creature (wit</w:t>
        <w:softHyphen/>
        <w:t>ness the controversy between Dionysius of Alexandria and Dionysius of Ro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e), as well as in the readiness of the West to accept the for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ula of Athanasius, that the Father and the Son are one and the same in substance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ὁμοούσιοι</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strict Modalists, whom Calixtus had excommuni</w:t>
        <w:softHyphen/>
        <w:t>cated alon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most zealous opponent Hippolytus, were led by Sabellius, who was perhaps a Libyan by birth. His party continued to subsist in Rome for a considerable time afterwards,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withstood Calixtus as an unscrupu</w:t>
        <w:softHyphen/>
        <w:t>lous apostate. In the West, however, the influence of Sabellius seems never to have been important; in the East, on the other hand, after the middle of the 3d cen</w:t>
        <w:softHyphen/>
        <w:t xml:space="preserve">tury his doctrine found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uch acceptance, first in the Pentapolis and afterwards in other provinces.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violently controverted by the bishops, notably by Dionysius of Alexandria, and the development in the East of the philosophical doctrine of the Trinity after Origen (from 260 to 320) was very powerfully influenced by the opposition to Sabellianism. Thus, for example, at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reat synod held in Antioch in 268 the "word </w:t>
      </w:r>
      <w:r>
        <w:rPr>
          <w:rFonts w:ascii="Times New Roman" w:eastAsia="Times New Roman" w:hAnsi="Times New Roman" w:cs="Times New Roman"/>
          <w:i/>
          <w:iCs/>
          <w:color w:val="000000"/>
          <w:spacing w:val="0"/>
          <w:w w:val="100"/>
          <w:position w:val="0"/>
          <w:shd w:val="clear" w:color="auto" w:fill="auto"/>
          <w:lang w:val="en-US" w:eastAsia="en-US" w:bidi="en-US"/>
        </w:rPr>
        <w:t>ὁ</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μοούσιος</w:t>
      </w:r>
      <w:r>
        <w:rPr>
          <w:rFonts w:ascii="Times New Roman" w:eastAsia="Times New Roman" w:hAnsi="Times New Roman" w:cs="Times New Roman"/>
          <w:color w:val="000000"/>
          <w:spacing w:val="0"/>
          <w:w w:val="100"/>
          <w:position w:val="0"/>
          <w:shd w:val="clear" w:color="auto" w:fill="auto"/>
          <w:lang w:val="en-US" w:eastAsia="en-US" w:bidi="en-US"/>
        </w:rPr>
        <w:t xml:space="preserve"> was rejected, as seemin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to favour Unitarianism. The Sabellian doc</w:t>
        <w:softHyphen/>
        <w:t>trine itself, however, durin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decades above mentioned underwent many chan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es in the East and received a philo</w:t>
        <w:softHyphen/>
        <w:t>sophical dress. In the 4th century this and the allied doctrine of Marcellus of Ancyra were frequently con</w:t>
        <w:softHyphen/>
        <w:t>founded, so that it is exceedin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ly difficult to arrive at a clear account of it in its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enuine form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Sabellianism, in fact, became a collective name for all those Unitarian doctrines in which the divine nature of Christ was acknowledged. The teachin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of Sabellius himself was indubitably very closely allied to the older Modalis</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(“Patripassianism”) of Noetus and Praxeas, but was distinguished from it by its more careful theological elaboration and by the account it took of the Holy Spirit. His central proposition was to the effect that Father, Son, and Holy Spirit are the same person, three names thus bein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attached to one and the same bein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What weighed most with Sabellius was the monotheistic interest. The One Bein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was also named by him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lang w:val="en-US" w:eastAsia="en-US" w:bidi="en-US"/>
        </w:rPr>
        <w:t>ἱ</w:t>
      </w:r>
      <w:r>
        <w:rPr>
          <w:rFonts w:ascii="Times New Roman" w:eastAsia="Times New Roman" w:hAnsi="Times New Roman" w:cs="Times New Roman"/>
          <w:i/>
          <w:iCs/>
          <w:color w:val="000000"/>
          <w:spacing w:val="0"/>
          <w:w w:val="100"/>
          <w:position w:val="0"/>
          <w:shd w:val="clear" w:color="auto" w:fill="auto"/>
          <w:lang w:val="en-US" w:eastAsia="en-US" w:bidi="en-US"/>
        </w:rPr>
        <w:t>oπάτω</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,—an expression purposely chosen to obviate ambiguity. To explain how one and the same being could have various forms of  manifestation, he pointed to the tripartite nature of man (body, soul, spirit), and to the sun, which manifests itself as a heavenly body, as a source of 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ht, and also as a source of warmth. He further maintained that God is not at one and the same time Father, Son, and Spirit, but, on the contrary, has been active in three consecutive energies,—first in the prosopon of the Father as Creator, then in the prosopon of the Son as Redeemer, and lastly in the prosopon of the Spirit as the Giver of Life. It is by this doctrine of the succession of the prosopa that Sabellius is essentially distinguished from the older Modalists. In particular it is si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nificant, in conjunction with the reference to the Holy Spirit, that Sabellius re</w:t>
        <w:softHyphen/>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ards the Father also as merely a form of manifestation of the one God,—in other words, has formally put Him in a position of complete equality with the other Persons. This view prepares the way for Au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ustine’s doctrine of the Trinity. Sabellius himself appears to have made use of Stoical formulas (</w:t>
      </w:r>
      <w:r>
        <w:rPr>
          <w:rFonts w:ascii="Times New Roman" w:eastAsia="Times New Roman" w:hAnsi="Times New Roman" w:cs="Times New Roman"/>
          <w:i/>
          <w:iCs/>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ατύvεσθαι, σvστέ</w:t>
      </w:r>
      <w:r>
        <w:rPr>
          <w:rFonts w:ascii="Times New Roman" w:eastAsia="Times New Roman" w:hAnsi="Times New Roman" w:cs="Times New Roman"/>
          <w:i/>
          <w:iCs/>
          <w:color w:val="000000"/>
          <w:spacing w:val="0"/>
          <w:w w:val="100"/>
          <w:position w:val="0"/>
          <w:shd w:val="clear" w:color="auto" w:fill="auto"/>
          <w:lang w:val="en-US" w:eastAsia="en-US" w:bidi="en-US"/>
        </w:rPr>
        <w:t>λλ</w:t>
      </w:r>
      <w:r>
        <w:rPr>
          <w:rFonts w:ascii="Times New Roman" w:eastAsia="Times New Roman" w:hAnsi="Times New Roman" w:cs="Times New Roman"/>
          <w:i/>
          <w:iCs/>
          <w:color w:val="000000"/>
          <w:spacing w:val="0"/>
          <w:w w:val="100"/>
          <w:position w:val="0"/>
          <w:shd w:val="clear" w:color="auto" w:fill="auto"/>
          <w:lang w:val="en-US" w:eastAsia="en-US" w:bidi="en-US"/>
        </w:rPr>
        <w:t>εσθaι</w:t>
      </w:r>
      <w:r>
        <w:rPr>
          <w:rFonts w:ascii="Times New Roman" w:eastAsia="Times New Roman" w:hAnsi="Times New Roman" w:cs="Times New Roman"/>
          <w:color w:val="000000"/>
          <w:spacing w:val="0"/>
          <w:w w:val="100"/>
          <w:position w:val="0"/>
          <w:shd w:val="clear" w:color="auto" w:fill="auto"/>
          <w:lang w:val="en-US" w:eastAsia="en-US" w:bidi="en-US"/>
        </w:rPr>
        <w:t>), but he chiefly relied upon Scripture, especially such passages as Deut. vi. 4, Exod. xx. 3, Isa. xliv. 6, John x. 38. Of his later history nothin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is known; his followers died out in the course of the 4th century.</w:t>
      </w:r>
    </w:p>
    <w:p>
      <w:pPr>
        <w:pStyle w:val="Style3"/>
        <w:keepNext w:val="0"/>
        <w:keepLines w:val="0"/>
        <w:widowControl w:val="0"/>
        <w:shd w:val="clear" w:color="auto" w:fill="auto"/>
        <w:tabs>
          <w:tab w:pos="3751"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sources of our knowledge of Sabellianism are Hippolytus </w:t>
      </w:r>
      <w:r>
        <w:rPr>
          <w:rFonts w:ascii="Times New Roman" w:eastAsia="Times New Roman" w:hAnsi="Times New Roman" w:cs="Times New Roman"/>
          <w:i/>
          <w:iCs/>
          <w:color w:val="000000"/>
          <w:spacing w:val="0"/>
          <w:w w:val="100"/>
          <w:position w:val="0"/>
          <w:shd w:val="clear" w:color="auto" w:fill="auto"/>
          <w:lang w:val="en-US" w:eastAsia="en-US" w:bidi="en-US"/>
        </w:rPr>
        <w:t>(Philos.,</w:t>
      </w:r>
      <w:r>
        <w:rPr>
          <w:rFonts w:ascii="Times New Roman" w:eastAsia="Times New Roman" w:hAnsi="Times New Roman" w:cs="Times New Roman"/>
          <w:color w:val="000000"/>
          <w:spacing w:val="0"/>
          <w:w w:val="100"/>
          <w:position w:val="0"/>
          <w:shd w:val="clear" w:color="auto" w:fill="auto"/>
          <w:lang w:val="en-US" w:eastAsia="en-US" w:bidi="en-US"/>
        </w:rPr>
        <w:t xml:space="preserve"> bk. ix.), Epiphanius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lxii.), and Dionys. Alex. </w:t>
      </w:r>
      <w:r>
        <w:rPr>
          <w:rFonts w:ascii="Times New Roman" w:eastAsia="Times New Roman" w:hAnsi="Times New Roman" w:cs="Times New Roman"/>
          <w:i/>
          <w:iCs/>
          <w:color w:val="000000"/>
          <w:spacing w:val="0"/>
          <w:w w:val="100"/>
          <w:position w:val="0"/>
          <w:shd w:val="clear" w:color="auto" w:fill="auto"/>
          <w:lang w:val="en-US" w:eastAsia="en-US" w:bidi="en-US"/>
        </w:rPr>
        <w:t>(Epp.)</w:t>
      </w:r>
      <w:r>
        <w:rPr>
          <w:rFonts w:ascii="Times New Roman" w:eastAsia="Times New Roman" w:hAnsi="Times New Roman" w:cs="Times New Roman"/>
          <w:color w:val="000000"/>
          <w:spacing w:val="0"/>
          <w:w w:val="100"/>
          <w:position w:val="0"/>
          <w:shd w:val="clear" w:color="auto" w:fill="auto"/>
          <w:lang w:val="en-US" w:eastAsia="en-US" w:bidi="en-US"/>
        </w:rPr>
        <w:t>; also various passages in Athanasius and the other fathers of the 4th century. For modern discussions of the subject see Schleiermacher (</w:t>
      </w:r>
      <w:r>
        <w:rPr>
          <w:rFonts w:ascii="Times New Roman" w:eastAsia="Times New Roman" w:hAnsi="Times New Roman" w:cs="Times New Roman"/>
          <w:i/>
          <w:iCs/>
          <w:color w:val="000000"/>
          <w:spacing w:val="0"/>
          <w:w w:val="100"/>
          <w:position w:val="0"/>
          <w:shd w:val="clear" w:color="auto" w:fill="auto"/>
          <w:lang w:val="en-US" w:eastAsia="en-US" w:bidi="en-US"/>
        </w:rPr>
        <w:t>Theol. Ztschr.,</w:t>
      </w:r>
      <w:r>
        <w:rPr>
          <w:rFonts w:ascii="Times New Roman" w:eastAsia="Times New Roman" w:hAnsi="Times New Roman" w:cs="Times New Roman"/>
          <w:color w:val="000000"/>
          <w:spacing w:val="0"/>
          <w:w w:val="100"/>
          <w:position w:val="0"/>
          <w:shd w:val="clear" w:color="auto" w:fill="auto"/>
          <w:lang w:val="en-US" w:eastAsia="en-US" w:bidi="en-US"/>
        </w:rPr>
        <w:t xml:space="preserve"> 1822, hft. 3), Lange </w:t>
      </w:r>
      <w:r>
        <w:rPr>
          <w:rFonts w:ascii="Times New Roman" w:eastAsia="Times New Roman" w:hAnsi="Times New Roman" w:cs="Times New Roman"/>
          <w:i/>
          <w:iCs/>
          <w:color w:val="000000"/>
          <w:spacing w:val="0"/>
          <w:w w:val="100"/>
          <w:position w:val="0"/>
          <w:shd w:val="clear" w:color="auto" w:fill="auto"/>
          <w:lang w:val="en-US" w:eastAsia="en-US" w:bidi="en-US"/>
        </w:rPr>
        <w:t>(Ztschr. f. hist. Theol.,</w:t>
      </w:r>
      <w:r>
        <w:rPr>
          <w:rFonts w:ascii="Times New Roman" w:eastAsia="Times New Roman" w:hAnsi="Times New Roman" w:cs="Times New Roman"/>
          <w:color w:val="000000"/>
          <w:spacing w:val="0"/>
          <w:w w:val="100"/>
          <w:position w:val="0"/>
          <w:shd w:val="clear" w:color="auto" w:fill="auto"/>
          <w:lang w:val="en-US" w:eastAsia="en-US" w:bidi="en-US"/>
        </w:rPr>
        <w:t xml:space="preserve"> 1832, ii. 2), Döllinger </w:t>
      </w:r>
      <w:r>
        <w:rPr>
          <w:rFonts w:ascii="Times New Roman" w:eastAsia="Times New Roman" w:hAnsi="Times New Roman" w:cs="Times New Roman"/>
          <w:i/>
          <w:iCs/>
          <w:color w:val="000000"/>
          <w:spacing w:val="0"/>
          <w:w w:val="100"/>
          <w:position w:val="0"/>
          <w:shd w:val="clear" w:color="auto" w:fill="auto"/>
          <w:lang w:val="en-US" w:eastAsia="en-US" w:bidi="en-US"/>
        </w:rPr>
        <w:t>(Hippolyt u. Kallist,</w:t>
      </w:r>
      <w:r>
        <w:rPr>
          <w:rFonts w:ascii="Times New Roman" w:eastAsia="Times New Roman" w:hAnsi="Times New Roman" w:cs="Times New Roman"/>
          <w:color w:val="000000"/>
          <w:spacing w:val="0"/>
          <w:w w:val="100"/>
          <w:position w:val="0"/>
          <w:shd w:val="clear" w:color="auto" w:fill="auto"/>
          <w:lang w:val="en-US" w:eastAsia="en-US" w:bidi="en-US"/>
        </w:rPr>
        <w:t xml:space="preserve"> 1853), Zahn </w:t>
      </w:r>
      <w:r>
        <w:rPr>
          <w:rFonts w:ascii="Times New Roman" w:eastAsia="Times New Roman" w:hAnsi="Times New Roman" w:cs="Times New Roman"/>
          <w:i/>
          <w:iCs/>
          <w:color w:val="000000"/>
          <w:spacing w:val="0"/>
          <w:w w:val="100"/>
          <w:position w:val="0"/>
          <w:shd w:val="clear" w:color="auto" w:fill="auto"/>
          <w:lang w:val="en-US" w:eastAsia="en-US" w:bidi="en-US"/>
        </w:rPr>
        <w:t>(Marcell v. Ancyra,</w:t>
      </w:r>
      <w:r>
        <w:rPr>
          <w:rFonts w:ascii="Times New Roman" w:eastAsia="Times New Roman" w:hAnsi="Times New Roman" w:cs="Times New Roman"/>
          <w:color w:val="000000"/>
          <w:spacing w:val="0"/>
          <w:w w:val="100"/>
          <w:position w:val="0"/>
          <w:shd w:val="clear" w:color="auto" w:fill="auto"/>
          <w:lang w:val="en-US" w:eastAsia="en-US" w:bidi="en-US"/>
        </w:rPr>
        <w:t xml:space="preserve"> 1867), and Harnack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xml:space="preserve"> “ Monarchianismus, in Herzog-Plitt, </w:t>
      </w:r>
      <w:r>
        <w:rPr>
          <w:rFonts w:ascii="Times New Roman" w:eastAsia="Times New Roman" w:hAnsi="Times New Roman" w:cs="Times New Roman"/>
          <w:i/>
          <w:iCs/>
          <w:color w:val="000000"/>
          <w:spacing w:val="0"/>
          <w:w w:val="100"/>
          <w:position w:val="0"/>
          <w:shd w:val="clear" w:color="auto" w:fill="auto"/>
          <w:lang w:val="en-US" w:eastAsia="en-US" w:bidi="en-US"/>
        </w:rPr>
        <w:t>Encykl. f. Prot. Theol,., x.</w:t>
      </w:r>
      <w:r>
        <w:rPr>
          <w:rFonts w:ascii="Times New Roman" w:eastAsia="Times New Roman" w:hAnsi="Times New Roman" w:cs="Times New Roman"/>
          <w:color w:val="000000"/>
          <w:spacing w:val="0"/>
          <w:w w:val="100"/>
          <w:position w:val="0"/>
          <w:shd w:val="clear" w:color="auto" w:fill="auto"/>
          <w:lang w:val="en-US" w:eastAsia="en-US" w:bidi="en-US"/>
        </w:rPr>
        <w:t xml:space="preserve"> 199 </w:t>
      </w:r>
      <w:r>
        <w:rPr>
          <w:rFonts w:ascii="Times New Roman" w:eastAsia="Times New Roman" w:hAnsi="Times New Roman" w:cs="Times New Roman"/>
          <w:i/>
          <w:iCs/>
          <w:color w:val="000000"/>
          <w:spacing w:val="0"/>
          <w:w w:val="100"/>
          <w:position w:val="0"/>
          <w:shd w:val="clear" w:color="auto" w:fill="auto"/>
          <w:lang w:val="en-US" w:eastAsia="en-US" w:bidi="en-US"/>
        </w:rPr>
        <w:t>sq.).</w:t>
        <w:tab/>
        <w:t>(A.</w:t>
      </w:r>
      <w:r>
        <w:rPr>
          <w:rFonts w:ascii="Times New Roman" w:eastAsia="Times New Roman" w:hAnsi="Times New Roman" w:cs="Times New Roman"/>
          <w:color w:val="000000"/>
          <w:spacing w:val="0"/>
          <w:w w:val="100"/>
          <w:position w:val="0"/>
          <w:shd w:val="clear" w:color="auto" w:fill="auto"/>
          <w:lang w:val="en-US" w:eastAsia="en-US" w:bidi="en-US"/>
        </w:rPr>
        <w:t xml:space="preserve"> HA.)</w:t>
      </w:r>
    </w:p>
    <w:p>
      <w:pPr>
        <w:pStyle w:val="Style3"/>
        <w:keepNext w:val="0"/>
        <w:keepLines w:val="0"/>
        <w:widowControl w:val="0"/>
        <w:shd w:val="clear" w:color="auto" w:fill="auto"/>
        <w:tabs>
          <w:tab w:pos="372"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In the 18th century there was discovered in one of the catacombs of Rome an inscription containing the words “quiet Filius diceris et Pater inveniris.” This can only have come from a Sabellian.</w:t>
      </w:r>
    </w:p>
    <w:p>
      <w:pPr>
        <w:pStyle w:val="Style3"/>
        <w:keepNext w:val="0"/>
        <w:keepLines w:val="0"/>
        <w:widowControl w:val="0"/>
        <w:shd w:val="clear" w:color="auto" w:fill="auto"/>
        <w:tabs>
          <w:tab w:pos="407"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Whether Sabellius himself ever visited the East is unknown.</w:t>
      </w:r>
    </w:p>
    <w:sectPr>
      <w:footnotePr>
        <w:pos w:val="pageBottom"/>
        <w:numFmt w:val="decimal"/>
        <w:numRestart w:val="continuous"/>
      </w:footnotePr>
      <w:pgSz w:w="12240" w:h="16840"/>
      <w:pgMar w:top="2223" w:left="1508" w:right="1278" w:bottom="8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