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teacher, he felt that he had himself much to learn. Since the death of Reiske Arabic learning had been in a back</w:t>
        <w:softHyphen/>
        <w:t xml:space="preserve">ward state, the standard of philological knowledge was low, and the books for students extremely defective.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Sacy set himself with characteristic thoroughness to com</w:t>
        <w:softHyphen/>
        <w:t xml:space="preserve">plete his own knowledge and supply the lacking helps to others, and he accomplished this task on such a scale, with such width of range, precision of thought, and scrupulous attention to details, that he became the founder of a wholly new school and the father of all subsequent Arabists. His great text-books, the </w:t>
      </w:r>
      <w:r>
        <w:rPr>
          <w:i/>
          <w:iCs/>
          <w:spacing w:val="0"/>
          <w:w w:val="100"/>
          <w:position w:val="0"/>
          <w:shd w:val="clear" w:color="auto" w:fill="auto"/>
          <w:lang w:val="fr-FR" w:eastAsia="fr-FR" w:bidi="fr-FR"/>
        </w:rPr>
        <w:t>Grammaire Arabe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(2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1st ed. 1810, 2d ed. 1831) and the </w:t>
      </w:r>
      <w:r>
        <w:rPr>
          <w:i/>
          <w:iCs/>
          <w:spacing w:val="0"/>
          <w:w w:val="100"/>
          <w:position w:val="0"/>
          <w:shd w:val="clear" w:color="auto" w:fill="auto"/>
          <w:lang w:val="en-US" w:eastAsia="en-US" w:bidi="en-US"/>
        </w:rPr>
        <w:t>Chrestomathie</w:t>
      </w:r>
      <w:r>
        <w:rPr>
          <w:spacing w:val="0"/>
          <w:w w:val="100"/>
          <w:position w:val="0"/>
          <w:shd w:val="clear" w:color="auto" w:fill="auto"/>
          <w:lang w:val="en-US" w:eastAsia="en-US" w:bidi="en-US"/>
        </w:rPr>
        <w:t xml:space="preserve"> (3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1st ed. 1806, 2d ed. 1826-31), together with its supplement, the </w:t>
      </w:r>
      <w:r>
        <w:rPr>
          <w:i/>
          <w:iCs/>
          <w:spacing w:val="0"/>
          <w:w w:val="100"/>
          <w:position w:val="0"/>
          <w:shd w:val="clear" w:color="auto" w:fill="auto"/>
          <w:lang w:val="fr-FR" w:eastAsia="fr-FR" w:bidi="fr-FR"/>
        </w:rPr>
        <w:t>Anthologie Grammaticale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(1829), are works that can never become obsolete; the luminous exposition of the grammar and the happy choice of the pieces in the chres- tomathy—all inedita—with the admirable notes, drawn from an enormous reading in MS. sources, make them altogether different from ordinary text-books. The whole powers of a great teacher, the whole wealth of knowledge of an unrivalled scholar, are spent with absolute single</w:t>
        <w:softHyphen/>
        <w:t>ness of purpose for the benefit of the learner, and the result is that the books are equally delightful and instruc</w:t>
        <w:softHyphen/>
        <w:t>tive to the student and to the advanced scholar. A com</w:t>
        <w:softHyphen/>
        <w:t>parison of the first and second editions shows how much toil and research it cost the author to raise his own scholar</w:t>
        <w:softHyphen/>
        <w:t>ship to the level which, thanks to his work, has become the starting-place for all subsequent ascents of the Arabian Parnassus.</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Sacy’s place as a teacher was threatened at the outset by his conscientious refusal to take an oath of hatred to royalty. He tendered his resignation both as professor and as member of the Institute ; but he was allowed to continue to teach, and rejoined the Institute on its re</w:t>
        <w:softHyphen/>
        <w:t>organization in 1803. In 1805 he made the only con</w:t>
        <w:softHyphen/>
        <w:t>siderable journey of his life, being sent to Genoa on a vain search for Arabic documents supposed to lie in the archives of that city. In 1806 he added the duties of Persian pro</w:t>
        <w:softHyphen/>
        <w:t xml:space="preserve">fessor to his old chair, and from this time onwards—as, in spite of his royalist opinions, he was ready to do public service under any stable government—his life, divided between his teaching, his literary work, and a variety of public duties, was one of increasing honour and success, broken only by a brief period of retreat during the Hundred Days. He found time for everything : while his pen was ever at work on subjects of abstruse research, he was one of the most active leaders in all the business which the French system throws on the </w:t>
      </w:r>
      <w:r>
        <w:rPr>
          <w:i/>
          <w:iCs/>
          <w:spacing w:val="0"/>
          <w:w w:val="100"/>
          <w:position w:val="0"/>
          <w:shd w:val="clear" w:color="auto" w:fill="auto"/>
          <w:lang w:val="en-US" w:eastAsia="en-US" w:bidi="en-US"/>
        </w:rPr>
        <w:t>savans</w:t>
      </w:r>
      <w:r>
        <w:rPr>
          <w:spacing w:val="0"/>
          <w:w w:val="100"/>
          <w:position w:val="0"/>
          <w:shd w:val="clear" w:color="auto" w:fill="auto"/>
          <w:lang w:val="en-US" w:eastAsia="en-US" w:bidi="en-US"/>
        </w:rPr>
        <w:t xml:space="preserve"> of the capital, especi</w:t>
        <w:softHyphen/>
        <w:t xml:space="preserve">ally as perpetual secretary of the Academy of Inscriptions (from 1832); in 1808 he entered the </w:t>
      </w:r>
      <w:r>
        <w:rPr>
          <w:i/>
          <w:iCs/>
          <w:spacing w:val="0"/>
          <w:w w:val="100"/>
          <w:position w:val="0"/>
          <w:shd w:val="clear" w:color="auto" w:fill="auto"/>
          <w:lang w:val="en-US" w:eastAsia="en-US" w:bidi="en-US"/>
        </w:rPr>
        <w:t xml:space="preserve">corps </w:t>
      </w:r>
      <w:r>
        <w:rPr>
          <w:i/>
          <w:iCs/>
          <w:spacing w:val="0"/>
          <w:w w:val="100"/>
          <w:position w:val="0"/>
          <w:shd w:val="clear" w:color="auto" w:fill="auto"/>
          <w:lang w:val="fr-FR" w:eastAsia="fr-FR" w:bidi="fr-FR"/>
        </w:rPr>
        <w:t>legislatif·,</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in 1832, when quite an old man, he became a peer of France and was regular in the duties of the chamber.@@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 1815 he became rector of the university of Paris, and after the second restoration he was active on the commission of public instruction. Of the </w:t>
      </w:r>
      <w:r>
        <w:rPr>
          <w:i/>
          <w:iCs/>
          <w:spacing w:val="0"/>
          <w:w w:val="100"/>
          <w:position w:val="0"/>
          <w:shd w:val="clear" w:color="auto" w:fill="auto"/>
          <w:lang w:val="en-US" w:eastAsia="en-US" w:bidi="en-US"/>
        </w:rPr>
        <w:t xml:space="preserve">Société </w:t>
      </w:r>
      <w:r>
        <w:rPr>
          <w:i/>
          <w:iCs/>
          <w:spacing w:val="0"/>
          <w:w w:val="100"/>
          <w:position w:val="0"/>
          <w:shd w:val="clear" w:color="auto" w:fill="auto"/>
          <w:lang w:val="fr-FR" w:eastAsia="fr-FR" w:bidi="fr-FR"/>
        </w:rPr>
        <w:t>Asiatique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he was one of the founders, and when he was inspector of Oriental types at the royal printing press he thought it his duty to read a proof of every book printed in Arabic and Persian. With this he maintained a vast correspondence and was accessible not only to every one who sought his advice on matters of learning and business but to all the poor of his quarter, who came to him as a member of the </w:t>
      </w:r>
      <w:r>
        <w:rPr>
          <w:i/>
          <w:iCs/>
          <w:spacing w:val="0"/>
          <w:w w:val="100"/>
          <w:position w:val="0"/>
          <w:shd w:val="clear" w:color="auto" w:fill="auto"/>
          <w:lang w:val="en-US" w:eastAsia="en-US" w:bidi="en-US"/>
        </w:rPr>
        <w:t xml:space="preserve">bureau </w:t>
      </w:r>
      <w:r>
        <w:rPr>
          <w:spacing w:val="0"/>
          <w:w w:val="100"/>
          <w:position w:val="0"/>
          <w:shd w:val="clear" w:color="auto" w:fill="auto"/>
          <w:lang w:val="en-US" w:eastAsia="en-US" w:bidi="en-US"/>
        </w:rPr>
        <w:t xml:space="preserve">of charity. Yet he was neither monk nor hermit: he enjoyed society and was happy in forty-eight years of married life and in the care of a large family. Though small and to appearance of delicate frame,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Sacy enjoyed unbroken health and worked on without sign of failing powers till two days before his death (21st February 1838), when he suddenly fell down in the street and never rallied.</w:t>
      </w:r>
    </w:p>
    <w:p>
      <w:pPr>
        <w:pStyle w:val="Style2"/>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The title of baron he received from Napoleon in 1813.</w:t>
      </w:r>
    </w:p>
    <w:p>
      <w:pPr>
        <w:pStyle w:val="Style2"/>
        <w:keepNext w:val="0"/>
        <w:keepLines w:val="0"/>
        <w:widowControl w:val="0"/>
        <w:shd w:val="clear" w:color="auto" w:fill="auto"/>
        <w:tabs>
          <w:tab w:pos="3672" w:val="left"/>
        </w:tabs>
        <w:bidi w:val="0"/>
        <w:ind w:left="0" w:firstLine="360"/>
        <w:jc w:val="left"/>
      </w:pP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Sacy wrote so much that a list even of his larger essays, mostly communicated to the Academy or in the </w:t>
      </w:r>
      <w:r>
        <w:rPr>
          <w:i/>
          <w:iCs/>
          <w:spacing w:val="0"/>
          <w:w w:val="100"/>
          <w:position w:val="0"/>
          <w:shd w:val="clear" w:color="auto" w:fill="auto"/>
          <w:lang w:val="en-US" w:eastAsia="en-US" w:bidi="en-US"/>
        </w:rPr>
        <w:t xml:space="preserve">Notices </w:t>
      </w:r>
      <w:r>
        <w:rPr>
          <w:i/>
          <w:iCs/>
          <w:spacing w:val="0"/>
          <w:w w:val="100"/>
          <w:position w:val="0"/>
          <w:shd w:val="clear" w:color="auto" w:fill="auto"/>
          <w:lang w:val="fr-FR" w:eastAsia="fr-FR" w:bidi="fr-FR"/>
        </w:rPr>
        <w:t>et Extraits,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im</w:t>
        <w:softHyphen/>
        <w:t xml:space="preserve">possible in this place, while his lesser papers and reviews in the </w:t>
      </w:r>
      <w:r>
        <w:rPr>
          <w:i/>
          <w:iCs/>
          <w:spacing w:val="0"/>
          <w:w w:val="100"/>
          <w:position w:val="0"/>
          <w:shd w:val="clear" w:color="auto" w:fill="auto"/>
          <w:lang w:val="en-US" w:eastAsia="en-US" w:bidi="en-US"/>
        </w:rPr>
        <w:t>Allg. Bib. f. biblische Litteratur,</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 xml:space="preserve">Mines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1’Orient,</w:t>
      </w:r>
      <w:r>
        <w:rPr>
          <w:spacing w:val="0"/>
          <w:w w:val="100"/>
          <w:position w:val="0"/>
          <w:shd w:val="clear" w:color="auto" w:fill="auto"/>
          <w:lang w:val="en-US" w:eastAsia="en-US" w:bidi="en-US"/>
        </w:rPr>
        <w:t xml:space="preserve"> the </w:t>
      </w:r>
      <w:r>
        <w:rPr>
          <w:i/>
          <w:iCs/>
          <w:spacing w:val="0"/>
          <w:w w:val="100"/>
          <w:position w:val="0"/>
          <w:shd w:val="clear" w:color="auto" w:fill="auto"/>
          <w:lang w:val="fr-FR" w:eastAsia="fr-FR" w:bidi="fr-FR"/>
        </w:rPr>
        <w:t>Magasin Encyclopédique,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 xml:space="preserve">Journal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Savants</w:t>
      </w:r>
      <w:r>
        <w:rPr>
          <w:spacing w:val="0"/>
          <w:w w:val="100"/>
          <w:position w:val="0"/>
          <w:shd w:val="clear" w:color="auto" w:fill="auto"/>
          <w:lang w:val="en-US" w:eastAsia="en-US" w:bidi="en-US"/>
        </w:rPr>
        <w:t xml:space="preserve"> (of which he was an editor), and the </w:t>
      </w:r>
      <w:r>
        <w:rPr>
          <w:i/>
          <w:iCs/>
          <w:spacing w:val="0"/>
          <w:w w:val="100"/>
          <w:position w:val="0"/>
          <w:shd w:val="clear" w:color="auto" w:fill="auto"/>
          <w:lang w:val="en-US" w:eastAsia="en-US" w:bidi="en-US"/>
        </w:rPr>
        <w:t xml:space="preserve">Journal </w:t>
      </w:r>
      <w:r>
        <w:rPr>
          <w:i/>
          <w:iCs/>
          <w:spacing w:val="0"/>
          <w:w w:val="100"/>
          <w:position w:val="0"/>
          <w:shd w:val="clear" w:color="auto" w:fill="auto"/>
          <w:lang w:val="fr-FR" w:eastAsia="fr-FR" w:bidi="fr-FR"/>
        </w:rPr>
        <w:t>Asiatique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almost innumerable. Among the works which he designed mainly for students may be classed his edition of Hariri (1822, 2d edition by Reinaud, 1847, 1855), with a selected Arabic commentary, and of the </w:t>
      </w:r>
      <w:r>
        <w:rPr>
          <w:i/>
          <w:iCs/>
          <w:spacing w:val="0"/>
          <w:w w:val="100"/>
          <w:position w:val="0"/>
          <w:shd w:val="clear" w:color="auto" w:fill="auto"/>
          <w:lang w:val="en-US" w:eastAsia="en-US" w:bidi="en-US"/>
        </w:rPr>
        <w:t>Alfiya</w:t>
      </w:r>
      <w:r>
        <w:rPr>
          <w:spacing w:val="0"/>
          <w:w w:val="100"/>
          <w:position w:val="0"/>
          <w:shd w:val="clear" w:color="auto" w:fill="auto"/>
          <w:lang w:val="en-US" w:eastAsia="en-US" w:bidi="en-US"/>
        </w:rPr>
        <w:t xml:space="preserve"> (1833), and his </w:t>
      </w:r>
      <w:r>
        <w:rPr>
          <w:i/>
          <w:iCs/>
          <w:spacing w:val="0"/>
          <w:w w:val="100"/>
          <w:position w:val="0"/>
          <w:shd w:val="clear" w:color="auto" w:fill="auto"/>
          <w:lang w:val="en-US" w:eastAsia="en-US" w:bidi="en-US"/>
        </w:rPr>
        <w:t xml:space="preserve">Calila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Dimna</w:t>
      </w:r>
      <w:r>
        <w:rPr>
          <w:spacing w:val="0"/>
          <w:w w:val="100"/>
          <w:position w:val="0"/>
          <w:shd w:val="clear" w:color="auto" w:fill="auto"/>
          <w:lang w:val="en-US" w:eastAsia="en-US" w:bidi="en-US"/>
        </w:rPr>
        <w:t xml:space="preserve"> (1816),—the Arabic version of that famous collec</w:t>
        <w:softHyphen/>
        <w:t xml:space="preserve">tion of Buddhist animal tales which has been in various forms one of the most popular books of the world.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Sacy’s enquiry into the wonderful history of these tales forms one of his best services to letters and a good example of the way in which he always made his work for the benefit of learners go hand in hand with profound research. Of his continued interest in Biblical subjects he gave evidence in his memoir on the Samaritan Arabic version of the Pentateuch (Mem. </w:t>
      </w:r>
      <w:r>
        <w:rPr>
          <w:i/>
          <w:iCs/>
          <w:spacing w:val="0"/>
          <w:w w:val="100"/>
          <w:position w:val="0"/>
          <w:shd w:val="clear" w:color="auto" w:fill="auto"/>
          <w:lang w:val="en-US" w:eastAsia="en-US" w:bidi="en-US"/>
        </w:rPr>
        <w:t xml:space="preserve">Acad,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Inscr.,</w:t>
      </w:r>
      <w:r>
        <w:rPr>
          <w:spacing w:val="0"/>
          <w:w w:val="100"/>
          <w:position w:val="0"/>
          <w:shd w:val="clear" w:color="auto" w:fill="auto"/>
          <w:lang w:val="en-US" w:eastAsia="en-US" w:bidi="en-US"/>
        </w:rPr>
        <w:t xml:space="preserve"> vol. xlix.), and in the Arabic and Syriac New Testaments edited for the British and Foreign Bible Society ; among works important for Eastern history, besides that on the Druses already named, may be cited his version of Abd-Allatíf, </w:t>
      </w:r>
      <w:r>
        <w:rPr>
          <w:i/>
          <w:iCs/>
          <w:spacing w:val="0"/>
          <w:w w:val="100"/>
          <w:position w:val="0"/>
          <w:shd w:val="clear" w:color="auto" w:fill="auto"/>
          <w:lang w:val="en-US" w:eastAsia="en-US" w:bidi="en-US"/>
        </w:rPr>
        <w:t xml:space="preserve">Relation </w:t>
      </w:r>
      <w:r>
        <w:rPr>
          <w:i/>
          <w:iCs/>
          <w:spacing w:val="0"/>
          <w:w w:val="100"/>
          <w:position w:val="0"/>
          <w:shd w:val="clear" w:color="auto" w:fill="auto"/>
          <w:lang w:val="fr-FR" w:eastAsia="fr-FR" w:bidi="fr-FR"/>
        </w:rPr>
        <w:t>Arabe sur l’Égypte,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his essays on the </w:t>
      </w:r>
      <w:r>
        <w:rPr>
          <w:i/>
          <w:iCs/>
          <w:spacing w:val="0"/>
          <w:w w:val="100"/>
          <w:position w:val="0"/>
          <w:shd w:val="clear" w:color="auto" w:fill="auto"/>
          <w:lang w:val="en-US" w:eastAsia="en-US" w:bidi="en-US"/>
        </w:rPr>
        <w:t>History of the Law of Property in Egypt</w:t>
      </w:r>
      <w:r>
        <w:rPr>
          <w:spacing w:val="0"/>
          <w:w w:val="100"/>
          <w:position w:val="0"/>
          <w:shd w:val="clear" w:color="auto" w:fill="auto"/>
          <w:lang w:val="en-US" w:eastAsia="en-US" w:bidi="en-US"/>
        </w:rPr>
        <w:t xml:space="preserve"> since the Arab conquest (1805-18). And, in conclusion, it must not be forgotten that his oral teaching was not less influential than his writings, and that, except Ewald, almost all Arabists of chief note in the first half of this century, in Germany as well as in France, were his personal pupils. Of the brilliant series of teachers who went out from his lecture-room one or two veterans still survive, and Professor Fleischer’s elaborate notes and corrections to the </w:t>
      </w:r>
      <w:r>
        <w:rPr>
          <w:i/>
          <w:iCs/>
          <w:spacing w:val="0"/>
          <w:w w:val="100"/>
          <w:position w:val="0"/>
          <w:shd w:val="clear" w:color="auto" w:fill="auto"/>
          <w:lang w:val="fr-FR" w:eastAsia="fr-FR" w:bidi="fr-FR"/>
        </w:rPr>
        <w:t xml:space="preserve">Grammaire Arabe </w:t>
      </w:r>
      <w:r>
        <w:rPr>
          <w:i/>
          <w:iCs/>
          <w:spacing w:val="0"/>
          <w:w w:val="100"/>
          <w:position w:val="0"/>
          <w:shd w:val="clear" w:color="auto" w:fill="auto"/>
          <w:lang w:val="en-US" w:eastAsia="en-US" w:bidi="en-US"/>
        </w:rPr>
        <w:t>(Kleinere Sehriften,</w:t>
      </w:r>
      <w:r>
        <w:rPr>
          <w:spacing w:val="0"/>
          <w:w w:val="100"/>
          <w:position w:val="0"/>
          <w:shd w:val="clear" w:color="auto" w:fill="auto"/>
          <w:lang w:val="en-US" w:eastAsia="en-US" w:bidi="en-US"/>
        </w:rPr>
        <w:t xml:space="preserve"> vol. i., 1885) may be regarded as the latest tribute to the memory of the great master by a disciple who is now the patriarch of living Arabists.</w:t>
        <w:tab/>
        <w:t xml:space="preserve">(W. </w:t>
      </w:r>
      <w:r>
        <w:rPr>
          <w:spacing w:val="0"/>
          <w:w w:val="100"/>
          <w:position w:val="0"/>
          <w:shd w:val="clear" w:color="auto" w:fill="auto"/>
          <w:lang w:val="fr-FR" w:eastAsia="fr-FR" w:bidi="fr-FR"/>
        </w:rPr>
        <w:t xml:space="preserve">R. </w:t>
      </w:r>
      <w:r>
        <w:rPr>
          <w:spacing w:val="0"/>
          <w:w w:val="100"/>
          <w:position w:val="0"/>
          <w:shd w:val="clear" w:color="auto" w:fill="auto"/>
          <w:lang w:val="en-US" w:eastAsia="en-US" w:bidi="en-US"/>
        </w:rPr>
        <w:t>S. )</w:t>
      </w:r>
    </w:p>
    <w:p>
      <w:pPr>
        <w:pStyle w:val="Style5"/>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SACY, </w:t>
      </w:r>
      <w:r>
        <w:rPr>
          <w:smallCaps/>
          <w:spacing w:val="0"/>
          <w:w w:val="100"/>
          <w:position w:val="0"/>
          <w:shd w:val="clear" w:color="auto" w:fill="auto"/>
          <w:lang w:val="en-US" w:eastAsia="en-US" w:bidi="en-US"/>
        </w:rPr>
        <w:t xml:space="preserve">Isaac Louis </w:t>
      </w:r>
      <w:r>
        <w:rPr>
          <w:smallCaps/>
          <w:spacing w:val="0"/>
          <w:w w:val="100"/>
          <w:position w:val="0"/>
          <w:shd w:val="clear" w:color="auto" w:fill="auto"/>
          <w:lang w:val="fr-FR" w:eastAsia="fr-FR" w:bidi="fr-FR"/>
        </w:rPr>
        <w:t>Le MAÎTRE de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(1613-1681), a figure of some prominence in the literary annals of PoRT </w:t>
      </w:r>
      <w:r>
        <w:rPr>
          <w:smallCaps/>
          <w:spacing w:val="0"/>
          <w:w w:val="100"/>
          <w:position w:val="0"/>
          <w:shd w:val="clear" w:color="auto" w:fill="auto"/>
          <w:lang w:val="en-US" w:eastAsia="en-US" w:bidi="en-US"/>
        </w:rPr>
        <w:t xml:space="preserve">Royal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and after the death of St Cyran (1643) and Singlin (1664) the leading confessor and “director” of the Jansenists in France, was born in Paris on 29th March 1613. He was closely connected with the Arnauld family, his true surname being </w:t>
      </w:r>
      <w:r>
        <w:rPr>
          <w:spacing w:val="0"/>
          <w:w w:val="100"/>
          <w:position w:val="0"/>
          <w:shd w:val="clear" w:color="auto" w:fill="auto"/>
          <w:lang w:val="fr-FR" w:eastAsia="fr-FR" w:bidi="fr-FR"/>
        </w:rPr>
        <w:t xml:space="preserve">Le Maître </w:t>
      </w:r>
      <w:r>
        <w:rPr>
          <w:spacing w:val="0"/>
          <w:w w:val="100"/>
          <w:position w:val="0"/>
          <w:shd w:val="clear" w:color="auto" w:fill="auto"/>
          <w:lang w:val="en-US" w:eastAsia="en-US" w:bidi="en-US"/>
        </w:rPr>
        <w:t xml:space="preserve">and that of Saci or Sacy which he afterwards assumed a mere anagram of Isaac, his Christian name. He studied philosophy and belles </w:t>
      </w:r>
      <w:r>
        <w:rPr>
          <w:spacing w:val="0"/>
          <w:w w:val="100"/>
          <w:position w:val="0"/>
          <w:shd w:val="clear" w:color="auto" w:fill="auto"/>
          <w:lang w:val="fr-FR" w:eastAsia="fr-FR" w:bidi="fr-FR"/>
        </w:rPr>
        <w:t xml:space="preserve">lettres </w:t>
      </w:r>
      <w:r>
        <w:rPr>
          <w:spacing w:val="0"/>
          <w:w w:val="100"/>
          <w:position w:val="0"/>
          <w:shd w:val="clear" w:color="auto" w:fill="auto"/>
          <w:lang w:val="en-US" w:eastAsia="en-US" w:bidi="en-US"/>
        </w:rPr>
        <w:t xml:space="preserve">at the </w:t>
      </w:r>
      <w:r>
        <w:rPr>
          <w:spacing w:val="0"/>
          <w:w w:val="100"/>
          <w:position w:val="0"/>
          <w:shd w:val="clear" w:color="auto" w:fill="auto"/>
          <w:lang w:val="fr-FR" w:eastAsia="fr-FR" w:bidi="fr-FR"/>
        </w:rPr>
        <w:t>Coll</w:t>
      </w:r>
      <w:r>
        <w:rPr>
          <w:spacing w:val="0"/>
          <w:w w:val="100"/>
          <w:position w:val="0"/>
          <w:shd w:val="clear" w:color="auto" w:fill="auto"/>
          <w:lang w:val="fr-FR" w:eastAsia="fr-FR" w:bidi="fr-FR"/>
        </w:rPr>
        <w:t>é</w:t>
      </w:r>
      <w:r>
        <w:rPr>
          <w:spacing w:val="0"/>
          <w:w w:val="100"/>
          <w:position w:val="0"/>
          <w:shd w:val="clear" w:color="auto" w:fill="auto"/>
          <w:lang w:val="fr-FR" w:eastAsia="fr-FR" w:bidi="fr-FR"/>
        </w:rPr>
        <w:t xml:space="preserve">ge de </w:t>
      </w:r>
      <w:r>
        <w:rPr>
          <w:spacing w:val="0"/>
          <w:w w:val="100"/>
          <w:position w:val="0"/>
          <w:shd w:val="clear" w:color="auto" w:fill="auto"/>
          <w:lang w:val="en-US" w:eastAsia="en-US" w:bidi="en-US"/>
        </w:rPr>
        <w:t xml:space="preserve">Calvi-Sorbonne, and afterwards, under the influence of St Cyran (see </w:t>
      </w:r>
      <w:r>
        <w:rPr>
          <w:smallCaps/>
          <w:spacing w:val="0"/>
          <w:w w:val="100"/>
          <w:position w:val="0"/>
          <w:shd w:val="clear" w:color="auto" w:fill="auto"/>
          <w:lang w:val="en-US" w:eastAsia="en-US" w:bidi="en-US"/>
        </w:rPr>
        <w:t xml:space="preserve">Duvergier </w:t>
      </w:r>
      <w:r>
        <w:rPr>
          <w:smallCaps/>
          <w:spacing w:val="0"/>
          <w:w w:val="100"/>
          <w:position w:val="0"/>
          <w:shd w:val="clear" w:color="auto" w:fill="auto"/>
          <w:lang w:val="fr-FR" w:eastAsia="fr-FR" w:bidi="fr-FR"/>
        </w:rPr>
        <w:t xml:space="preserve">de </w:t>
      </w:r>
      <w:r>
        <w:rPr>
          <w:smallCaps/>
          <w:spacing w:val="0"/>
          <w:w w:val="100"/>
          <w:position w:val="0"/>
          <w:shd w:val="clear" w:color="auto" w:fill="auto"/>
          <w:lang w:val="en-US" w:eastAsia="en-US" w:bidi="en-US"/>
        </w:rPr>
        <w:t xml:space="preserve">Hauranne), </w:t>
      </w:r>
      <w:r>
        <w:rPr>
          <w:spacing w:val="0"/>
          <w:w w:val="100"/>
          <w:position w:val="0"/>
          <w:shd w:val="clear" w:color="auto" w:fill="auto"/>
          <w:lang w:val="en-US" w:eastAsia="en-US" w:bidi="en-US"/>
        </w:rPr>
        <w:t xml:space="preserve">his spiritual director, joined his eldest brother Antoine </w:t>
      </w:r>
      <w:r>
        <w:rPr>
          <w:spacing w:val="0"/>
          <w:w w:val="100"/>
          <w:position w:val="0"/>
          <w:shd w:val="clear" w:color="auto" w:fill="auto"/>
          <w:lang w:val="fr-FR" w:eastAsia="fr-FR" w:bidi="fr-FR"/>
        </w:rPr>
        <w:t xml:space="preserve">Le Maître </w:t>
      </w:r>
      <w:r>
        <w:rPr>
          <w:spacing w:val="0"/>
          <w:w w:val="100"/>
          <w:position w:val="0"/>
          <w:shd w:val="clear" w:color="auto" w:fill="auto"/>
          <w:lang w:val="en-US" w:eastAsia="en-US" w:bidi="en-US"/>
        </w:rPr>
        <w:t xml:space="preserve">at Port Royal </w:t>
      </w:r>
      <w:r>
        <w:rPr>
          <w:spacing w:val="0"/>
          <w:w w:val="100"/>
          <w:position w:val="0"/>
          <w:shd w:val="clear" w:color="auto" w:fill="auto"/>
          <w:lang w:val="fr-FR" w:eastAsia="fr-FR" w:bidi="fr-FR"/>
        </w:rPr>
        <w:t xml:space="preserve">des </w:t>
      </w:r>
      <w:r>
        <w:rPr>
          <w:spacing w:val="0"/>
          <w:w w:val="100"/>
          <w:position w:val="0"/>
          <w:shd w:val="clear" w:color="auto" w:fill="auto"/>
          <w:lang w:val="en-US" w:eastAsia="en-US" w:bidi="en-US"/>
        </w:rPr>
        <w:t xml:space="preserve">Champs. Here he threw himself heartily into the life of the place, devoting himself specially to teaching and the preparation of school-books, his chief productions in this class being expurgated editions of Martial and Terence and a translation of </w:t>
      </w:r>
      <w:r>
        <w:rPr>
          <w:spacing w:val="0"/>
          <w:w w:val="100"/>
          <w:position w:val="0"/>
          <w:shd w:val="clear" w:color="auto" w:fill="auto"/>
          <w:lang w:val="fr-FR" w:eastAsia="fr-FR" w:bidi="fr-FR"/>
        </w:rPr>
        <w:t xml:space="preserve">Phædrus. </w:t>
      </w:r>
      <w:r>
        <w:rPr>
          <w:spacing w:val="0"/>
          <w:w w:val="100"/>
          <w:position w:val="0"/>
          <w:shd w:val="clear" w:color="auto" w:fill="auto"/>
          <w:lang w:val="en-US" w:eastAsia="en-US" w:bidi="en-US"/>
        </w:rPr>
        <w:t xml:space="preserve">In 1650 he was ordained to the priesthood, and in 1654 he entered the field of theological controversy with a brochure entitled </w:t>
      </w:r>
      <w:r>
        <w:rPr>
          <w:i/>
          <w:iCs/>
          <w:spacing w:val="0"/>
          <w:w w:val="100"/>
          <w:position w:val="0"/>
          <w:shd w:val="clear" w:color="auto" w:fill="auto"/>
          <w:lang w:val="fr-FR" w:eastAsia="fr-FR" w:bidi="fr-FR"/>
        </w:rPr>
        <w:t>Enluminures de l’Almanach des Jésuites intitulé la Déroute et la Confusion des Jansénistes,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which it is enough to say that, if the Jesuit attack was in exe</w:t>
        <w:softHyphen/>
        <w:t xml:space="preserve">crable taste, neither was the reply in keeping with the finer ethical tone of Port Royal. From 1661, after the breaking up of the </w:t>
      </w:r>
      <w:r>
        <w:rPr>
          <w:spacing w:val="0"/>
          <w:w w:val="100"/>
          <w:position w:val="0"/>
          <w:shd w:val="clear" w:color="auto" w:fill="auto"/>
          <w:lang w:val="fr-FR" w:eastAsia="fr-FR" w:bidi="fr-FR"/>
        </w:rPr>
        <w:t xml:space="preserve">Petites Écoles, </w:t>
      </w:r>
      <w:r>
        <w:rPr>
          <w:spacing w:val="0"/>
          <w:w w:val="100"/>
          <w:position w:val="0"/>
          <w:shd w:val="clear" w:color="auto" w:fill="auto"/>
          <w:lang w:val="en-US" w:eastAsia="en-US" w:bidi="en-US"/>
        </w:rPr>
        <w:t xml:space="preserve">he lived more or less in concealment in Paris until May 1666, when he was thrown into the Bastille, where he remained till November 1668. During his imprisonment he occupied himself with the completion of a new version of the New Testament, known as the </w:t>
      </w:r>
      <w:r>
        <w:rPr>
          <w:i/>
          <w:iCs/>
          <w:spacing w:val="0"/>
          <w:w w:val="100"/>
          <w:position w:val="0"/>
          <w:shd w:val="clear" w:color="auto" w:fill="auto"/>
          <w:lang w:val="en-US" w:eastAsia="en-US" w:bidi="en-US"/>
        </w:rPr>
        <w:t xml:space="preserve">Nouveau Testament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Mons</w:t>
      </w:r>
      <w:r>
        <w:rPr>
          <w:spacing w:val="0"/>
          <w:w w:val="100"/>
          <w:position w:val="0"/>
          <w:shd w:val="clear" w:color="auto" w:fill="auto"/>
          <w:lang w:val="en-US" w:eastAsia="en-US" w:bidi="en-US"/>
        </w:rPr>
        <w:t xml:space="preserve"> (1667), and the re</w:t>
        <w:softHyphen/>
        <w:t>mainder of his life was largely devoted to a similar trans</w:t>
        <w:softHyphen/>
        <w:t xml:space="preserve">lation of the Old Testament, based chiefly on the Vulgate, with </w:t>
      </w:r>
      <w:r>
        <w:rPr>
          <w:i/>
          <w:iCs/>
          <w:spacing w:val="0"/>
          <w:w w:val="100"/>
          <w:position w:val="0"/>
          <w:shd w:val="clear" w:color="auto" w:fill="auto"/>
          <w:lang w:val="fr-FR" w:eastAsia="fr-FR" w:bidi="fr-FR"/>
        </w:rPr>
        <w:t>Éclaircissements.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These began to appear in 1672 and were continued down to the end of the minor prophets. As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Sacy knew nothing of Hebrew, this version is of no value as a contribution to scholarship, and in style it is more artificial and laboured than those which had pre</w:t>
        <w:softHyphen/>
        <w:t xml:space="preserve">ceded it. From 1668 till his death on 4th January 1684 he lived partly in Paris, partly at Port Royal </w:t>
      </w:r>
      <w:r>
        <w:rPr>
          <w:spacing w:val="0"/>
          <w:w w:val="100"/>
          <w:position w:val="0"/>
          <w:shd w:val="clear" w:color="auto" w:fill="auto"/>
          <w:lang w:val="fr-FR" w:eastAsia="fr-FR" w:bidi="fr-FR"/>
        </w:rPr>
        <w:t xml:space="preserve">des </w:t>
      </w:r>
      <w:r>
        <w:rPr>
          <w:spacing w:val="0"/>
          <w:w w:val="100"/>
          <w:position w:val="0"/>
          <w:shd w:val="clear" w:color="auto" w:fill="auto"/>
          <w:lang w:val="en-US" w:eastAsia="en-US" w:bidi="en-US"/>
        </w:rPr>
        <w:t xml:space="preserve">Champs, and partly at </w:t>
      </w:r>
      <w:r>
        <w:rPr>
          <w:spacing w:val="0"/>
          <w:w w:val="100"/>
          <w:position w:val="0"/>
          <w:shd w:val="clear" w:color="auto" w:fill="auto"/>
          <w:lang w:val="fr-FR" w:eastAsia="fr-FR" w:bidi="fr-FR"/>
        </w:rPr>
        <w:t xml:space="preserve">Pomponne, </w:t>
      </w:r>
      <w:r>
        <w:rPr>
          <w:spacing w:val="0"/>
          <w:w w:val="100"/>
          <w:position w:val="0"/>
          <w:shd w:val="clear" w:color="auto" w:fill="auto"/>
          <w:lang w:val="en-US" w:eastAsia="en-US" w:bidi="en-US"/>
        </w:rPr>
        <w:t xml:space="preserve">the seat of his cousin, the marquis </w:t>
      </w:r>
      <w:r>
        <w:rPr>
          <w:spacing w:val="0"/>
          <w:w w:val="100"/>
          <w:position w:val="0"/>
          <w:shd w:val="clear" w:color="auto" w:fill="auto"/>
          <w:lang w:val="fr-FR" w:eastAsia="fr-FR" w:bidi="fr-FR"/>
        </w:rPr>
        <w:t xml:space="preserve">de Pomponne. </w:t>
      </w:r>
      <w:r>
        <w:rPr>
          <w:spacing w:val="0"/>
          <w:w w:val="100"/>
          <w:position w:val="0"/>
          <w:shd w:val="clear" w:color="auto" w:fill="auto"/>
          <w:lang w:val="en-US" w:eastAsia="en-US" w:bidi="en-US"/>
        </w:rPr>
        <w:t xml:space="preserve">He was buried at Port Royal </w:t>
      </w:r>
      <w:r>
        <w:rPr>
          <w:spacing w:val="0"/>
          <w:w w:val="100"/>
          <w:position w:val="0"/>
          <w:shd w:val="clear" w:color="auto" w:fill="auto"/>
          <w:lang w:val="fr-FR" w:eastAsia="fr-FR" w:bidi="fr-FR"/>
        </w:rPr>
        <w:t xml:space="preserve">des </w:t>
      </w:r>
      <w:r>
        <w:rPr>
          <w:spacing w:val="0"/>
          <w:w w:val="100"/>
          <w:position w:val="0"/>
          <w:shd w:val="clear" w:color="auto" w:fill="auto"/>
          <w:lang w:val="en-US" w:eastAsia="en-US" w:bidi="en-US"/>
        </w:rPr>
        <w:t>Champs.</w:t>
      </w:r>
    </w:p>
    <w:p>
      <w:pPr>
        <w:pStyle w:val="Style2"/>
        <w:keepNext w:val="0"/>
        <w:keepLines w:val="0"/>
        <w:widowControl w:val="0"/>
        <w:shd w:val="clear" w:color="auto" w:fill="auto"/>
        <w:bidi w:val="0"/>
        <w:spacing w:line="271" w:lineRule="auto"/>
        <w:ind w:left="0" w:firstLine="0"/>
        <w:jc w:val="left"/>
      </w:pPr>
      <w:r>
        <w:rPr>
          <w:spacing w:val="0"/>
          <w:w w:val="100"/>
          <w:position w:val="0"/>
          <w:shd w:val="clear" w:color="auto" w:fill="auto"/>
          <w:lang w:val="en-US" w:eastAsia="en-US" w:bidi="en-US"/>
        </w:rPr>
        <w:t>In addition to the works already mentioned, he published, under</w:t>
      </w:r>
    </w:p>
    <w:sectPr>
      <w:footnotePr>
        <w:pos w:val="pageBottom"/>
        <w:numFmt w:val="decimal"/>
        <w:numRestart w:val="continuous"/>
      </w:footnotePr>
      <w:pgSz w:w="12240" w:h="16840"/>
      <w:pgMar w:top="2221" w:left="1482" w:right="1246" w:bottom="685" w:header="1793" w:footer="257" w:gutter="0"/>
      <w:pgNumType w:start="2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5">
    <w:name w:val="Body text"/>
    <w:basedOn w:val="Normal"/>
    <w:link w:val="CharStyle6"/>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