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SAMSON (Hebrew, </w:t>
      </w:r>
      <w:r>
        <w:rPr>
          <w:rFonts w:ascii="Times New Roman" w:eastAsia="Times New Roman" w:hAnsi="Times New Roman" w:cs="Times New Roman"/>
          <w:i/>
          <w:iCs/>
          <w:color w:val="000000"/>
          <w:spacing w:val="0"/>
          <w:w w:val="100"/>
          <w:position w:val="0"/>
          <w:shd w:val="clear" w:color="auto" w:fill="auto"/>
          <w:lang w:val="en-US" w:eastAsia="en-US" w:bidi="en-US"/>
        </w:rPr>
        <w:t>Shimshōn),</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enemy of the Philistines, is reckoned as one of the judges of Israel in two editorial notes which belong to the chronological scheme of the book of Judges (xv. 20, xvi. 31); but his story itself, which is a self-contained narrative by a single hand (Jud. xiii. 2-16, 31a), represents him not as a judge but as a popular hero of vast strength and sarcastic humour, who has indeed been consecrated from his birth as the deliverer of Israel, and is not unaware of his voca</w:t>
        <w:softHyphen/>
        <w:t>tion, but who yet is inspired by no serious religious or patriotic purpose, and becomes the enemy of the Philistines only from personal motives of revenge, the one passion which is stronger in him than the love of women. In his life, and still more in his death, he inflicts great injury on the oppressors of Israel, but he is never the head of a national uprising against them, nor do the Israelites receive any real deliverance at his hands. The story of his exploits is plainly taken from the mouths of the people, and one is tempted to conjecture that originally his Nazarite vow was conceived simply as a vow of revenge, which is the meaning it would have in an Arab story. Our narrator, however, conceives his life as a sort of prelude to the work of Saul (xiii. 5), and brings out its religious and national significance in this respect in the opening scene (ch. xiii.), which is closely parallel to the story of Gideon, and in the tragic close (ch. xvi.); while yet the character of Samson, who generally is quite for</w:t>
        <w:softHyphen/>
        <w:t>getful of his mission, remains much as it had been shaped in rude popular tale in a circle which, like Samson him</w:t>
        <w:softHyphen/>
        <w:t>self, was but dimly conscious of the national and religious vocation of Israel.</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of Samson </w:t>
      </w:r>
      <w:r>
        <w:rPr>
          <w:rFonts w:ascii="Times New Roman" w:eastAsia="Times New Roman" w:hAnsi="Times New Roman" w:cs="Times New Roman"/>
          <w:i/>
          <w:iCs/>
          <w:color w:val="000000"/>
          <w:spacing w:val="0"/>
          <w:w w:val="100"/>
          <w:position w:val="0"/>
          <w:shd w:val="clear" w:color="auto" w:fill="auto"/>
          <w:lang w:val="en-US" w:eastAsia="en-US" w:bidi="en-US"/>
        </w:rPr>
        <w:t>(Shamshōn,</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Massoretic </w:t>
      </w:r>
      <w:r>
        <w:rPr>
          <w:rFonts w:ascii="Times New Roman" w:eastAsia="Times New Roman" w:hAnsi="Times New Roman" w:cs="Times New Roman"/>
          <w:i/>
          <w:iCs/>
          <w:color w:val="000000"/>
          <w:spacing w:val="0"/>
          <w:w w:val="100"/>
          <w:position w:val="0"/>
          <w:shd w:val="clear" w:color="auto" w:fill="auto"/>
          <w:lang w:val="en-US" w:eastAsia="en-US" w:bidi="en-US"/>
        </w:rPr>
        <w:t>Shimshōn</w:t>
      </w:r>
      <w:r>
        <w:rPr>
          <w:rFonts w:ascii="Times New Roman" w:eastAsia="Times New Roman" w:hAnsi="Times New Roman" w:cs="Times New Roman"/>
          <w:color w:val="000000"/>
          <w:spacing w:val="0"/>
          <w:w w:val="100"/>
          <w:position w:val="0"/>
          <w:shd w:val="clear" w:color="auto" w:fill="auto"/>
          <w:lang w:val="en-US" w:eastAsia="en-US" w:bidi="en-US"/>
        </w:rPr>
        <w:t xml:space="preserve"> is a more modern pronunciation, and later than the LXX., who write </w:t>
      </w:r>
      <w:r>
        <w:rPr>
          <w:rFonts w:ascii="Times New Roman" w:eastAsia="Times New Roman" w:hAnsi="Times New Roman" w:cs="Times New Roman"/>
          <w:color w:val="000000"/>
          <w:spacing w:val="0"/>
          <w:w w:val="100"/>
          <w:position w:val="0"/>
          <w:shd w:val="clear" w:color="auto" w:fill="auto"/>
          <w:lang w:val="en-US" w:eastAsia="en-US" w:bidi="en-US"/>
        </w:rPr>
        <w:t>Σαμψών</w:t>
      </w:r>
      <w:r>
        <w:rPr>
          <w:rFonts w:ascii="Times New Roman" w:eastAsia="Times New Roman" w:hAnsi="Times New Roman" w:cs="Times New Roman"/>
          <w:color w:val="000000"/>
          <w:spacing w:val="0"/>
          <w:w w:val="100"/>
          <w:position w:val="0"/>
          <w:shd w:val="clear" w:color="auto" w:fill="auto"/>
          <w:lang w:val="en-US" w:eastAsia="en-US" w:bidi="en-US"/>
        </w:rPr>
        <w:t xml:space="preserve">) means “solar,” but neither the name nor the story lends any solid support to Steinthal’s fantastic idea that the hero is a solar myth (compare Wellhausen-Bleek, p. 196). He is a member of an undoubtedly historical family of those Danites who had their standing camp near Zorah, not far from the Philistine border, before they moved north and seized Laish (compare xiii. 25 with xviii. 8, 11, 12). The family of Manoah had an hereditary sepulchre at Zorah, where Samson was said to lie (xvi. 31), and their name continued to be associated with Zorah even after the exile, when it appears that the Manahethites of Zorah were reckoned as Calibbites. The name had remained though the race changed (1 Chron. ii. 52, 54). One of Samson’s chief exploits is associated with a rock called from its shape “the Ass’s Jawbone,” from which sprung a fountain called En-hakkore, “ the spring of the partridge,” and these names have influenced the form in which the exploit is told. The narrative of Samson’s marriage and riddle is of peculiar interest as a record of manners; specially noteworthy is the custom of the wife remaining with her parents after marriage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Gen. ii. 24).</w:t>
      </w:r>
    </w:p>
    <w:p>
      <w:pPr>
        <w:pStyle w:val="Style5"/>
        <w:keepNext w:val="0"/>
        <w:keepLines w:val="0"/>
        <w:widowControl w:val="0"/>
        <w:shd w:val="clear" w:color="auto" w:fill="auto"/>
        <w:tabs>
          <w:tab w:pos="182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SAMUEL</w:t>
        <w:tab/>
        <w:t>Shĕmūēl),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seer and “judge” of</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Israel in the time of the Philistine oppression. His history, as told in the first book of Samuel (compare Psalm xcix. 5; Ecclus. xlvi. 13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is too familiar to call for repetition here, and a critical estimate of his place in Hebrew history has been given in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403. There remain, however, one or two points of detail which may be noticed here. His birthplace was Ramah, or, as it is called in the Hebrew text of 1 Sam. i. 1, Ha-Ramathaim (Ramathem, 1 Macc. xi. 34; Arimathæa, Mat. xxvii. 57); the identity</w:t>
      </w:r>
    </w:p>
    <w:p>
      <w:pPr>
        <w:widowControl w:val="0"/>
      </w:pP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two names is supported by the Septuagint, which has Arimathaim for Ramah in several passages. Ramah, which appears in 1 Kings xv. 17 as a stronghold on the frontier of the kingdoms of Ephraim and Judah, is probably identical with the modern El-Râm, about 5 miles north of Jerusalem, on a hill on the east side of the main road to </w:t>
      </w:r>
      <w:r>
        <w:rPr>
          <w:rFonts w:ascii="Times New Roman" w:eastAsia="Times New Roman" w:hAnsi="Times New Roman" w:cs="Times New Roman"/>
          <w:color w:val="000000"/>
          <w:spacing w:val="0"/>
          <w:w w:val="100"/>
          <w:position w:val="0"/>
          <w:shd w:val="clear" w:color="auto" w:fill="auto"/>
          <w:lang w:val="en-US" w:eastAsia="en-US" w:bidi="en-US"/>
        </w:rPr>
        <w:t xml:space="preserve">Shechem </w:t>
      </w:r>
      <w:r>
        <w:rPr>
          <w:rFonts w:ascii="Times New Roman" w:eastAsia="Times New Roman" w:hAnsi="Times New Roman" w:cs="Times New Roman"/>
          <w:color w:val="000000"/>
          <w:spacing w:val="0"/>
          <w:w w:val="100"/>
          <w:position w:val="0"/>
          <w:shd w:val="clear" w:color="auto" w:fill="auto"/>
          <w:lang w:val="en-US" w:eastAsia="en-US" w:bidi="en-US"/>
        </w:rPr>
        <w:t xml:space="preserve">and the north. Ramah was also the place where Samuel usually resided in his later days, and from which he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a yearly circuit through a very limited district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immediate neighbourhood, “judging Israel” (1 Sam. vii. 16). None of the cities which he visited is more than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w:t>
      </w:r>
      <w:r>
        <w:rPr>
          <w:rFonts w:ascii="Times New Roman" w:eastAsia="Times New Roman" w:hAnsi="Times New Roman" w:cs="Times New Roman"/>
          <w:color w:val="000000"/>
          <w:spacing w:val="0"/>
          <w:w w:val="100"/>
          <w:position w:val="0"/>
          <w:shd w:val="clear" w:color="auto" w:fill="auto"/>
          <w:lang w:val="en-US" w:eastAsia="en-US" w:bidi="en-US"/>
        </w:rPr>
        <w:t xml:space="preserve">miles </w:t>
      </w:r>
      <w:r>
        <w:rPr>
          <w:rFonts w:ascii="Times New Roman" w:eastAsia="Times New Roman" w:hAnsi="Times New Roman" w:cs="Times New Roman"/>
          <w:color w:val="000000"/>
          <w:spacing w:val="0"/>
          <w:w w:val="100"/>
          <w:position w:val="0"/>
          <w:shd w:val="clear" w:color="auto" w:fill="auto"/>
          <w:lang w:val="en-US" w:eastAsia="en-US" w:bidi="en-US"/>
        </w:rPr>
        <w:t xml:space="preserve">from Ramah. Ramah, according to 1 Sam. i. 1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 xml:space="preserve">the text is to be corrected by the Septuagint), was a town in the district of Zuph, belonging to the tribe of Ephraim (comp. 1 Sam. ix. 5 and 1 Sam. x. 2, where the </w:t>
      </w:r>
      <w:r>
        <w:rPr>
          <w:rFonts w:ascii="Times New Roman" w:eastAsia="Times New Roman" w:hAnsi="Times New Roman" w:cs="Times New Roman"/>
          <w:color w:val="000000"/>
          <w:spacing w:val="0"/>
          <w:w w:val="100"/>
          <w:position w:val="0"/>
          <w:shd w:val="clear" w:color="auto" w:fill="auto"/>
          <w:lang w:val="en-US" w:eastAsia="en-US" w:bidi="en-US"/>
        </w:rPr>
        <w:t xml:space="preserve">grave </w:t>
      </w:r>
      <w:r>
        <w:rPr>
          <w:rFonts w:ascii="Times New Roman" w:eastAsia="Times New Roman" w:hAnsi="Times New Roman" w:cs="Times New Roman"/>
          <w:color w:val="000000"/>
          <w:spacing w:val="0"/>
          <w:w w:val="100"/>
          <w:position w:val="0"/>
          <w:shd w:val="clear" w:color="auto" w:fill="auto"/>
          <w:lang w:val="en-US" w:eastAsia="en-US" w:bidi="en-US"/>
        </w:rPr>
        <w:t xml:space="preserve">of Rachel </w:t>
      </w:r>
      <w:r>
        <w:rPr>
          <w:rFonts w:ascii="Times New Roman" w:eastAsia="Times New Roman" w:hAnsi="Times New Roman" w:cs="Times New Roman"/>
          <w:color w:val="000000"/>
          <w:spacing w:val="0"/>
          <w:w w:val="100"/>
          <w:position w:val="0"/>
          <w:shd w:val="clear" w:color="auto" w:fill="auto"/>
          <w:lang w:val="en-US" w:eastAsia="en-US" w:bidi="en-US"/>
        </w:rPr>
        <w:t xml:space="preserve">lies </w:t>
      </w:r>
      <w:r>
        <w:rPr>
          <w:rFonts w:ascii="Times New Roman" w:eastAsia="Times New Roman" w:hAnsi="Times New Roman" w:cs="Times New Roman"/>
          <w:color w:val="000000"/>
          <w:spacing w:val="0"/>
          <w:w w:val="100"/>
          <w:position w:val="0"/>
          <w:shd w:val="clear" w:color="auto" w:fill="auto"/>
          <w:lang w:val="en-US" w:eastAsia="en-US" w:bidi="en-US"/>
        </w:rPr>
        <w:t xml:space="preserve">on the frontier between Ephraim and Benjamin; a different localization is given in Gen. xxxv. 19, 20, </w:t>
      </w:r>
      <w:r>
        <w:rPr>
          <w:rFonts w:ascii="Times New Roman" w:eastAsia="Times New Roman" w:hAnsi="Times New Roman" w:cs="Times New Roman"/>
          <w:color w:val="000000"/>
          <w:spacing w:val="0"/>
          <w:w w:val="100"/>
          <w:position w:val="0"/>
          <w:shd w:val="clear" w:color="auto" w:fill="auto"/>
          <w:lang w:val="en-US" w:eastAsia="en-US" w:bidi="en-US"/>
        </w:rPr>
        <w:t xml:space="preserve">unless </w:t>
      </w:r>
      <w:r>
        <w:rPr>
          <w:rFonts w:ascii="Times New Roman" w:eastAsia="Times New Roman" w:hAnsi="Times New Roman" w:cs="Times New Roman"/>
          <w:color w:val="000000"/>
          <w:spacing w:val="0"/>
          <w:w w:val="100"/>
          <w:position w:val="0"/>
          <w:shd w:val="clear" w:color="auto" w:fill="auto"/>
          <w:lang w:val="en-US" w:eastAsia="en-US" w:bidi="en-US"/>
        </w:rPr>
        <w:t xml:space="preserve">the identification of Bethlehem and Ephrath there is a later gloss). The original text of 1 Sam. i. 1 does not seem to say explicitly that Samuel’s father was an Ephrathite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of the tribe of Ephraim), though his city was Ephrathite; and 1 Chron. vi. 28, 33 [vi. 13, 18] makes him a Levite, apparently because a post-exile family of singers traced their stock from him. The old accounts certainly repre</w:t>
        <w:softHyphen/>
        <w:t xml:space="preserve">sent Samuel even as a child as doing priestly service at Shiloh, girt with the ephod and wearing the priestly robe </w:t>
      </w:r>
      <w:r>
        <w:rPr>
          <w:rFonts w:ascii="Times New Roman" w:eastAsia="Times New Roman" w:hAnsi="Times New Roman" w:cs="Times New Roman"/>
          <w:i/>
          <w:iCs/>
          <w:color w:val="000000"/>
          <w:spacing w:val="0"/>
          <w:w w:val="100"/>
          <w:position w:val="0"/>
          <w:shd w:val="clear" w:color="auto" w:fill="auto"/>
          <w:lang w:val="en-US" w:eastAsia="en-US" w:bidi="en-US"/>
        </w:rPr>
        <w:t>(mĕ'îl,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V. “coat,” 1 Sam. ii. 18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but at that early date priesthood was by no means confined to Levites, and the </w:t>
      </w:r>
      <w:r>
        <w:rPr>
          <w:rFonts w:ascii="Times New Roman" w:eastAsia="Times New Roman" w:hAnsi="Times New Roman" w:cs="Times New Roman"/>
          <w:color w:val="000000"/>
          <w:spacing w:val="0"/>
          <w:w w:val="100"/>
          <w:position w:val="0"/>
          <w:shd w:val="clear" w:color="auto" w:fill="auto"/>
          <w:lang w:val="en-US" w:eastAsia="en-US" w:bidi="en-US"/>
        </w:rPr>
        <w:t xml:space="preserve">story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implies that it was not by birth but only by his mother’s vow that he was dedicated to the service of the sanctuary. On Samuel’s relation to the prophets,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 xml:space="preserve">vol. xix. p. 815. Compare also </w:t>
      </w:r>
      <w:r>
        <w:rPr>
          <w:rFonts w:ascii="Times New Roman" w:eastAsia="Times New Roman" w:hAnsi="Times New Roman" w:cs="Times New Roman"/>
          <w:smallCaps/>
          <w:color w:val="000000"/>
          <w:spacing w:val="0"/>
          <w:w w:val="100"/>
          <w:position w:val="0"/>
          <w:shd w:val="clear" w:color="auto" w:fill="auto"/>
          <w:lang w:val="en-US" w:eastAsia="en-US" w:bidi="en-US"/>
        </w:rPr>
        <w:t>Samuel, Books of.</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SAMUEL, </w:t>
      </w:r>
      <w:r>
        <w:rPr>
          <w:rFonts w:ascii="Times New Roman" w:eastAsia="Times New Roman" w:hAnsi="Times New Roman" w:cs="Times New Roman"/>
          <w:smallCaps/>
          <w:color w:val="000000"/>
          <w:spacing w:val="0"/>
          <w:w w:val="100"/>
          <w:position w:val="0"/>
          <w:shd w:val="clear" w:color="auto" w:fill="auto"/>
          <w:lang w:val="en-US" w:eastAsia="en-US" w:bidi="en-US"/>
        </w:rPr>
        <w:t>Books of.</w:t>
      </w:r>
      <w:r>
        <w:rPr>
          <w:rFonts w:ascii="Times New Roman" w:eastAsia="Times New Roman" w:hAnsi="Times New Roman" w:cs="Times New Roman"/>
          <w:color w:val="000000"/>
          <w:spacing w:val="0"/>
          <w:w w:val="100"/>
          <w:position w:val="0"/>
          <w:shd w:val="clear" w:color="auto" w:fill="auto"/>
          <w:lang w:val="en-US" w:eastAsia="en-US" w:bidi="en-US"/>
        </w:rPr>
        <w:t xml:space="preserve"> The Hebrew Book of Samuel, like the Hebrew Book of Kings, is in modern Bibles divided into two books, after the Septuagint and Vulgate, whose four books of “ kingdoms ” answer to the Hebrew books of Samuel and Kings. The connexion between the books of Samuel and Kings has been spoken of in the article </w:t>
      </w:r>
      <w:r>
        <w:rPr>
          <w:rFonts w:ascii="Times New Roman" w:eastAsia="Times New Roman" w:hAnsi="Times New Roman" w:cs="Times New Roman"/>
          <w:smallCap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These two books, together with Judges, are made up of a series of extracts and abstracts from various sources worked over from time to time by successive editors, and freely handled by copyists down to a comparatively late date, as the variations between the Hebrew text and the Septuagint show. The main redac</w:t>
        <w:softHyphen/>
        <w:t xml:space="preserve">tion of Judges and Kings has plainly been made under the influence of the ideas of the book of Deuteronomy, and it was in connexion with this redaction that the history from the accession of Solomon onwards was marked off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separate book (see </w:t>
      </w:r>
      <w:r>
        <w:rPr>
          <w:rFonts w:ascii="Times New Roman" w:eastAsia="Times New Roman" w:hAnsi="Times New Roman" w:cs="Times New Roman"/>
          <w:smallCap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In Samuel the Deuteronomistic hand is much less prominent, but in 1 Sam. vii. 2-4, and in the speech of Samuel, ch. xii., its </w:t>
      </w:r>
      <w:r>
        <w:rPr>
          <w:rFonts w:ascii="Times New Roman" w:eastAsia="Times New Roman" w:hAnsi="Times New Roman" w:cs="Times New Roman"/>
          <w:color w:val="000000"/>
          <w:spacing w:val="0"/>
          <w:w w:val="100"/>
          <w:position w:val="0"/>
          <w:shd w:val="clear" w:color="auto" w:fill="auto"/>
          <w:lang w:val="en-US" w:eastAsia="en-US" w:bidi="en-US"/>
        </w:rPr>
        <w:t xml:space="preserve">characteristic pragmatism </w:t>
      </w:r>
      <w:r>
        <w:rPr>
          <w:rFonts w:ascii="Times New Roman" w:eastAsia="Times New Roman" w:hAnsi="Times New Roman" w:cs="Times New Roman"/>
          <w:color w:val="000000"/>
          <w:spacing w:val="0"/>
          <w:w w:val="100"/>
          <w:position w:val="0"/>
          <w:shd w:val="clear" w:color="auto" w:fill="auto"/>
          <w:lang w:val="en-US" w:eastAsia="en-US" w:bidi="en-US"/>
        </w:rPr>
        <w:t xml:space="preserve">is clearly recognizable; the </w:t>
      </w:r>
      <w:r>
        <w:rPr>
          <w:rFonts w:ascii="Times New Roman" w:eastAsia="Times New Roman" w:hAnsi="Times New Roman" w:cs="Times New Roman"/>
          <w:color w:val="000000"/>
          <w:spacing w:val="0"/>
          <w:w w:val="100"/>
          <w:position w:val="0"/>
          <w:shd w:val="clear" w:color="auto" w:fill="auto"/>
          <w:lang w:val="en-US" w:eastAsia="en-US" w:bidi="en-US"/>
        </w:rPr>
        <w:t xml:space="preserve">nature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old </w:t>
      </w:r>
      <w:r>
        <w:rPr>
          <w:rFonts w:ascii="Times New Roman" w:eastAsia="Times New Roman" w:hAnsi="Times New Roman" w:cs="Times New Roman"/>
          <w:color w:val="000000"/>
          <w:spacing w:val="0"/>
          <w:w w:val="100"/>
          <w:position w:val="0"/>
          <w:shd w:val="clear" w:color="auto" w:fill="auto"/>
          <w:lang w:val="en-US" w:eastAsia="en-US" w:bidi="en-US"/>
        </w:rPr>
        <w:t xml:space="preserve">narrative </w:t>
      </w:r>
      <w:r>
        <w:rPr>
          <w:rFonts w:ascii="Times New Roman" w:eastAsia="Times New Roman" w:hAnsi="Times New Roman" w:cs="Times New Roman"/>
          <w:color w:val="000000"/>
          <w:spacing w:val="0"/>
          <w:w w:val="100"/>
          <w:position w:val="0"/>
          <w:shd w:val="clear" w:color="auto" w:fill="auto"/>
          <w:lang w:val="en-US" w:eastAsia="en-US" w:bidi="en-US"/>
        </w:rPr>
        <w:t>did not invite frequent inser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kind </w:t>
      </w:r>
      <w:r>
        <w:rPr>
          <w:rFonts w:ascii="Times New Roman" w:eastAsia="Times New Roman" w:hAnsi="Times New Roman" w:cs="Times New Roman"/>
          <w:color w:val="000000"/>
          <w:spacing w:val="0"/>
          <w:w w:val="100"/>
          <w:position w:val="0"/>
          <w:shd w:val="clear" w:color="auto" w:fill="auto"/>
          <w:lang w:val="en-US" w:eastAsia="en-US" w:bidi="en-US"/>
        </w:rPr>
        <w:t xml:space="preserve">throughout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story. </w:t>
      </w:r>
      <w:r>
        <w:rPr>
          <w:rFonts w:ascii="Times New Roman" w:eastAsia="Times New Roman" w:hAnsi="Times New Roman" w:cs="Times New Roman"/>
          <w:color w:val="000000"/>
          <w:spacing w:val="0"/>
          <w:w w:val="100"/>
          <w:position w:val="0"/>
          <w:shd w:val="clear" w:color="auto" w:fill="auto"/>
          <w:lang w:val="en-US" w:eastAsia="en-US" w:bidi="en-US"/>
        </w:rPr>
        <w:t xml:space="preserve">So, too, the </w:t>
      </w:r>
      <w:r>
        <w:rPr>
          <w:rFonts w:ascii="Times New Roman" w:eastAsia="Times New Roman" w:hAnsi="Times New Roman" w:cs="Times New Roman"/>
          <w:color w:val="000000"/>
          <w:spacing w:val="0"/>
          <w:w w:val="100"/>
          <w:position w:val="0"/>
          <w:shd w:val="clear" w:color="auto" w:fill="auto"/>
          <w:lang w:val="en-US" w:eastAsia="en-US" w:bidi="en-US"/>
        </w:rPr>
        <w:t xml:space="preserve">chronological system which </w:t>
      </w:r>
      <w:r>
        <w:rPr>
          <w:rFonts w:ascii="Times New Roman" w:eastAsia="Times New Roman" w:hAnsi="Times New Roman" w:cs="Times New Roman"/>
          <w:color w:val="000000"/>
          <w:spacing w:val="0"/>
          <w:w w:val="100"/>
          <w:position w:val="0"/>
          <w:shd w:val="clear" w:color="auto" w:fill="auto"/>
          <w:lang w:val="en-US" w:eastAsia="en-US" w:bidi="en-US"/>
        </w:rPr>
        <w:t xml:space="preserve">runs through Judges and </w:t>
      </w:r>
      <w:r>
        <w:rPr>
          <w:rFonts w:ascii="Times New Roman" w:eastAsia="Times New Roman" w:hAnsi="Times New Roman" w:cs="Times New Roman"/>
          <w:color w:val="000000"/>
          <w:spacing w:val="0"/>
          <w:w w:val="100"/>
          <w:position w:val="0"/>
          <w:shd w:val="clear" w:color="auto" w:fill="auto"/>
          <w:lang w:val="en-US" w:eastAsia="en-US" w:bidi="en-US"/>
        </w:rPr>
        <w:t xml:space="preserve">Kings is not completely carried out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Samuel, </w:t>
      </w:r>
      <w:r>
        <w:rPr>
          <w:rFonts w:ascii="Times New Roman" w:eastAsia="Times New Roman" w:hAnsi="Times New Roman" w:cs="Times New Roman"/>
          <w:color w:val="000000"/>
          <w:spacing w:val="0"/>
          <w:w w:val="100"/>
          <w:position w:val="0"/>
          <w:shd w:val="clear" w:color="auto" w:fill="auto"/>
          <w:lang w:val="en-US" w:eastAsia="en-US" w:bidi="en-US"/>
        </w:rPr>
        <w:t xml:space="preserve">though its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can be traced (1 Sam. </w:t>
      </w: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 xml:space="preserve">vii. 2, xiii. 1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xxvii. 7, 2 Sam. ii 10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 </w:t>
      </w:r>
      <w:r>
        <w:rPr>
          <w:rFonts w:ascii="Times New Roman" w:eastAsia="Times New Roman" w:hAnsi="Times New Roman" w:cs="Times New Roman"/>
          <w:color w:val="000000"/>
          <w:spacing w:val="0"/>
          <w:w w:val="100"/>
          <w:position w:val="0"/>
          <w:shd w:val="clear" w:color="auto" w:fill="auto"/>
          <w:lang w:val="en-US" w:eastAsia="en-US" w:bidi="en-US"/>
        </w:rPr>
        <w:t xml:space="preserve">Sam. </w:t>
      </w:r>
      <w:r>
        <w:rPr>
          <w:rFonts w:ascii="Times New Roman" w:eastAsia="Times New Roman" w:hAnsi="Times New Roman" w:cs="Times New Roman"/>
          <w:color w:val="000000"/>
          <w:spacing w:val="0"/>
          <w:w w:val="100"/>
          <w:position w:val="0"/>
          <w:shd w:val="clear" w:color="auto" w:fill="auto"/>
          <w:lang w:val="en-US" w:eastAsia="en-US" w:bidi="en-US"/>
        </w:rPr>
        <w:t>xiii. 1,</w:t>
      </w:r>
    </w:p>
    <w:p>
      <w:pPr>
        <w:pStyle w:val="Style5"/>
        <w:keepNext w:val="0"/>
        <w:keepLines w:val="0"/>
        <w:widowControl w:val="0"/>
        <w:shd w:val="clear" w:color="auto" w:fill="auto"/>
        <w:tabs>
          <w:tab w:leader="hyphen" w:pos="2333"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note “ Saul was——years </w:t>
      </w:r>
      <w:r>
        <w:rPr>
          <w:rFonts w:ascii="Times New Roman" w:eastAsia="Times New Roman" w:hAnsi="Times New Roman" w:cs="Times New Roman"/>
          <w:color w:val="000000"/>
          <w:spacing w:val="0"/>
          <w:w w:val="100"/>
          <w:position w:val="0"/>
          <w:shd w:val="clear" w:color="auto" w:fill="auto"/>
          <w:lang w:val="en-US" w:eastAsia="en-US" w:bidi="en-US"/>
        </w:rPr>
        <w:t>old when he became</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 and reigned [two] years over </w:t>
      </w:r>
      <w:r>
        <w:rPr>
          <w:rFonts w:ascii="Times New Roman" w:eastAsia="Times New Roman" w:hAnsi="Times New Roman" w:cs="Times New Roman"/>
          <w:color w:val="000000"/>
          <w:spacing w:val="0"/>
          <w:w w:val="100"/>
          <w:position w:val="0"/>
          <w:shd w:val="clear" w:color="auto" w:fill="auto"/>
          <w:lang w:val="en-US" w:eastAsia="en-US" w:bidi="en-US"/>
        </w:rPr>
        <w:t xml:space="preserve">Israel ” (lacking in </w:t>
      </w:r>
      <w:r>
        <w:rPr>
          <w:rFonts w:ascii="Times New Roman" w:eastAsia="Times New Roman" w:hAnsi="Times New Roman" w:cs="Times New Roman"/>
          <w:color w:val="000000"/>
          <w:spacing w:val="0"/>
          <w:w w:val="100"/>
          <w:position w:val="0"/>
          <w:shd w:val="clear" w:color="auto" w:fill="auto"/>
          <w:lang w:val="en-US" w:eastAsia="en-US" w:bidi="en-US"/>
        </w:rPr>
        <w:t xml:space="preserve">LXX.), one of the numbers has been left </w:t>
      </w:r>
      <w:r>
        <w:rPr>
          <w:rFonts w:ascii="Times New Roman" w:eastAsia="Times New Roman" w:hAnsi="Times New Roman" w:cs="Times New Roman"/>
          <w:color w:val="000000"/>
          <w:spacing w:val="0"/>
          <w:w w:val="100"/>
          <w:position w:val="0"/>
          <w:shd w:val="clear" w:color="auto" w:fill="auto"/>
          <w:lang w:val="en-US" w:eastAsia="en-US" w:bidi="en-US"/>
        </w:rPr>
        <w:t xml:space="preserve">blank and the </w:t>
      </w:r>
      <w:r>
        <w:rPr>
          <w:rFonts w:ascii="Times New Roman" w:eastAsia="Times New Roman" w:hAnsi="Times New Roman" w:cs="Times New Roman"/>
          <w:color w:val="000000"/>
          <w:spacing w:val="0"/>
          <w:w w:val="100"/>
          <w:position w:val="0"/>
          <w:shd w:val="clear" w:color="auto" w:fill="auto"/>
          <w:lang w:val="en-US" w:eastAsia="en-US" w:bidi="en-US"/>
        </w:rPr>
        <w:t xml:space="preserve">other has been falsely filled </w:t>
      </w:r>
      <w:r>
        <w:rPr>
          <w:rFonts w:ascii="Times New Roman" w:eastAsia="Times New Roman" w:hAnsi="Times New Roman" w:cs="Times New Roman"/>
          <w:color w:val="000000"/>
          <w:spacing w:val="0"/>
          <w:w w:val="100"/>
          <w:position w:val="0"/>
          <w:shd w:val="clear" w:color="auto" w:fill="auto"/>
          <w:lang w:val="en-US" w:eastAsia="en-US" w:bidi="en-US"/>
        </w:rPr>
        <w:t xml:space="preserve">up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mere error of the </w:t>
      </w:r>
      <w:r>
        <w:rPr>
          <w:rFonts w:ascii="Times New Roman" w:eastAsia="Times New Roman" w:hAnsi="Times New Roman" w:cs="Times New Roman"/>
          <w:color w:val="000000"/>
          <w:spacing w:val="0"/>
          <w:w w:val="100"/>
          <w:position w:val="0"/>
          <w:shd w:val="clear" w:color="auto" w:fill="auto"/>
          <w:lang w:val="en-US" w:eastAsia="en-US" w:bidi="en-US"/>
        </w:rPr>
        <w:t xml:space="preserve">text; the similar note in 2 Sam. </w:t>
      </w:r>
      <w:r>
        <w:rPr>
          <w:rFonts w:ascii="Times New Roman" w:eastAsia="Times New Roman" w:hAnsi="Times New Roman" w:cs="Times New Roman"/>
          <w:color w:val="000000"/>
          <w:spacing w:val="0"/>
          <w:w w:val="100"/>
          <w:position w:val="0"/>
          <w:shd w:val="clear" w:color="auto" w:fill="auto"/>
          <w:lang w:val="en-US" w:eastAsia="en-US" w:bidi="en-US"/>
        </w:rPr>
        <w:t xml:space="preserve">ii. 10 </w:t>
      </w:r>
      <w:r>
        <w:rPr>
          <w:rFonts w:ascii="Times New Roman" w:eastAsia="Times New Roman" w:hAnsi="Times New Roman" w:cs="Times New Roman"/>
          <w:color w:val="000000"/>
          <w:spacing w:val="0"/>
          <w:w w:val="100"/>
          <w:position w:val="0"/>
          <w:shd w:val="clear" w:color="auto" w:fill="auto"/>
          <w:lang w:val="en-US" w:eastAsia="en-US" w:bidi="en-US"/>
        </w:rPr>
        <w:t xml:space="preserve">seems </w:t>
      </w:r>
      <w:r>
        <w:rPr>
          <w:rFonts w:ascii="Times New Roman" w:eastAsia="Times New Roman" w:hAnsi="Times New Roman" w:cs="Times New Roman"/>
          <w:color w:val="000000"/>
          <w:spacing w:val="0"/>
          <w:w w:val="100"/>
          <w:position w:val="0"/>
          <w:shd w:val="clear" w:color="auto" w:fill="auto"/>
          <w:lang w:val="en-US" w:eastAsia="en-US" w:bidi="en-US"/>
        </w:rPr>
        <w:t xml:space="preserve">also to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filled up at random; it contradicts </w:t>
      </w:r>
      <w:r>
        <w:rPr>
          <w:rFonts w:ascii="Times New Roman" w:eastAsia="Times New Roman" w:hAnsi="Times New Roman" w:cs="Times New Roman"/>
          <w:color w:val="000000"/>
          <w:spacing w:val="0"/>
          <w:w w:val="100"/>
          <w:position w:val="0"/>
          <w:shd w:val="clear" w:color="auto" w:fill="auto"/>
          <w:lang w:val="en-US" w:eastAsia="en-US" w:bidi="en-US"/>
        </w:rPr>
        <w:t xml:space="preserve">and disturbs the </w:t>
      </w:r>
      <w:r>
        <w:rPr>
          <w:rFonts w:ascii="Times New Roman" w:eastAsia="Times New Roman" w:hAnsi="Times New Roman" w:cs="Times New Roman"/>
          <w:color w:val="000000"/>
          <w:spacing w:val="0"/>
          <w:w w:val="100"/>
          <w:position w:val="0"/>
          <w:shd w:val="clear" w:color="auto" w:fill="auto"/>
          <w:lang w:val="en-US" w:eastAsia="en-US" w:bidi="en-US"/>
        </w:rPr>
        <w:t xml:space="preserve">context. But, though the </w:t>
      </w:r>
      <w:r>
        <w:rPr>
          <w:rFonts w:ascii="Times New Roman" w:eastAsia="Times New Roman" w:hAnsi="Times New Roman" w:cs="Times New Roman"/>
          <w:color w:val="000000"/>
          <w:spacing w:val="0"/>
          <w:w w:val="100"/>
          <w:position w:val="0"/>
          <w:shd w:val="clear" w:color="auto" w:fill="auto"/>
          <w:lang w:val="en-US" w:eastAsia="en-US" w:bidi="en-US"/>
        </w:rPr>
        <w:t xml:space="preserve">book </w:t>
      </w:r>
      <w:r>
        <w:rPr>
          <w:rFonts w:ascii="Times New Roman" w:eastAsia="Times New Roman" w:hAnsi="Times New Roman" w:cs="Times New Roman"/>
          <w:color w:val="000000"/>
          <w:spacing w:val="0"/>
          <w:w w:val="100"/>
          <w:position w:val="0"/>
          <w:shd w:val="clear" w:color="auto" w:fill="auto"/>
          <w:lang w:val="en-US" w:eastAsia="en-US" w:bidi="en-US"/>
        </w:rPr>
        <w:t xml:space="preserve">of Samuel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 xml:space="preserve">less systematically edited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 xml:space="preserve">Kings, </w:t>
      </w:r>
      <w:r>
        <w:rPr>
          <w:rFonts w:ascii="Times New Roman" w:eastAsia="Times New Roman" w:hAnsi="Times New Roman" w:cs="Times New Roman"/>
          <w:color w:val="000000"/>
          <w:spacing w:val="0"/>
          <w:w w:val="100"/>
          <w:position w:val="0"/>
          <w:shd w:val="clear" w:color="auto" w:fill="auto"/>
          <w:lang w:val="en-US" w:eastAsia="en-US" w:bidi="en-US"/>
        </w:rPr>
        <w:t>unsystematic addi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to and modifications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oldest narratives w</w:t>
      </w:r>
      <w:r>
        <w:rPr>
          <w:rFonts w:ascii="Times New Roman" w:eastAsia="Times New Roman" w:hAnsi="Times New Roman" w:cs="Times New Roman"/>
          <w:color w:val="000000"/>
          <w:spacing w:val="0"/>
          <w:w w:val="100"/>
          <w:position w:val="0"/>
          <w:shd w:val="clear" w:color="auto" w:fill="auto"/>
          <w:lang w:val="en-US" w:eastAsia="en-US" w:bidi="en-US"/>
        </w:rPr>
        <w:t xml:space="preserve">ere </w:t>
      </w:r>
      <w:r>
        <w:rPr>
          <w:rFonts w:ascii="Times New Roman" w:eastAsia="Times New Roman" w:hAnsi="Times New Roman" w:cs="Times New Roman"/>
          <w:color w:val="000000"/>
          <w:spacing w:val="0"/>
          <w:w w:val="100"/>
          <w:position w:val="0"/>
          <w:shd w:val="clear" w:color="auto" w:fill="auto"/>
          <w:lang w:val="en-US" w:eastAsia="en-US" w:bidi="en-US"/>
        </w:rPr>
        <w:t xml:space="preserve">made from time to time 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very considerable </w:t>
      </w:r>
      <w:r>
        <w:rPr>
          <w:rFonts w:ascii="Times New Roman" w:eastAsia="Times New Roman" w:hAnsi="Times New Roman" w:cs="Times New Roman"/>
          <w:color w:val="000000"/>
          <w:spacing w:val="0"/>
          <w:w w:val="100"/>
          <w:position w:val="0"/>
          <w:shd w:val="clear" w:color="auto" w:fill="auto"/>
          <w:lang w:val="en-US" w:eastAsia="en-US" w:bidi="en-US"/>
        </w:rPr>
        <w:t>scale, and</w:t>
      </w:r>
    </w:p>
    <w:p>
      <w:pPr>
        <w:pStyle w:val="Style5"/>
        <w:keepNext w:val="0"/>
        <w:keepLines w:val="0"/>
        <w:widowControl w:val="0"/>
        <w:shd w:val="clear" w:color="auto" w:fill="auto"/>
        <w:bidi w:val="0"/>
        <w:spacing w:line="288"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This is one of an obscure class of proper names &amp;c.), the analogy of which seems to exclude the idea that it is softened from</w:t>
        <w:tab/>
        <w:t>“heard of God.” It seems rather to mean “name of</w:t>
      </w:r>
    </w:p>
    <w:p>
      <w:pPr>
        <w:pStyle w:val="Style5"/>
        <w:keepNext w:val="0"/>
        <w:keepLines w:val="0"/>
        <w:widowControl w:val="0"/>
        <w:shd w:val="clear" w:color="auto" w:fill="auto"/>
        <w:bidi w:val="0"/>
        <w:spacing w:line="288" w:lineRule="auto"/>
        <w:ind w:left="0" w:firstLine="0"/>
        <w:jc w:val="left"/>
        <w:rPr>
          <w:sz w:val="14"/>
          <w:szCs w:val="14"/>
        </w:rPr>
      </w:pPr>
      <w:r>
        <w:rPr>
          <w:rStyle w:val="CharStyle4"/>
          <w:sz w:val="14"/>
          <w:szCs w:val="14"/>
          <w:lang w:val="en-US" w:eastAsia="en-US" w:bidi="en-US"/>
        </w:rPr>
        <w:t xml:space="preserve">El,” </w:t>
      </w:r>
      <w:r>
        <w:rPr>
          <w:rStyle w:val="CharStyle4"/>
          <w:rFonts w:ascii="Arial" w:eastAsia="Arial" w:hAnsi="Arial" w:cs="Arial"/>
          <w:i/>
          <w:iCs/>
          <w:sz w:val="10"/>
          <w:szCs w:val="10"/>
          <w:lang w:val="en-US" w:eastAsia="en-US" w:bidi="en-US"/>
        </w:rPr>
        <w:t>i.e.,</w:t>
      </w:r>
      <w:r>
        <w:rPr>
          <w:rStyle w:val="CharStyle4"/>
          <w:sz w:val="14"/>
          <w:szCs w:val="14"/>
          <w:lang w:val="en-US" w:eastAsia="en-US" w:bidi="en-US"/>
        </w:rPr>
        <w:t xml:space="preserve"> “manifestation of God’s power or will.” Compare the title Shem Baal, “name of Baal,” given to Astarte on the epitaph of Eshmunazar.</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lang w:val="1024"/>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lang w:val="1024"/>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