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tabs>
          <w:tab w:pos="558"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classes of priests. 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most important of these works have come down to us, and they occupy by far the most prominent place among the literary productions of the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tra-period. The Kalpa-sutras, or rules of ceremonial, are of two kinds:—(1) the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rauta-s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tras,</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based on the £ruti, and teach the performance of the great sacri</w:t>
        <w:softHyphen/>
        <w:t xml:space="preserve">fices, requiring three sacrificial fires ; and (2) the </w:t>
      </w:r>
      <w:r>
        <w:rPr>
          <w:rFonts w:ascii="Times New Roman" w:eastAsia="Times New Roman" w:hAnsi="Times New Roman" w:cs="Times New Roman"/>
          <w:i/>
          <w:iCs/>
          <w:color w:val="000000"/>
          <w:spacing w:val="0"/>
          <w:w w:val="100"/>
          <w:position w:val="0"/>
          <w:shd w:val="clear" w:color="auto" w:fill="auto"/>
          <w:lang w:val="en-US" w:eastAsia="en-US" w:bidi="en-US"/>
        </w:rPr>
        <w:t>Sm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rta- sutras,</w:t>
      </w:r>
      <w:r>
        <w:rPr>
          <w:rFonts w:ascii="Times New Roman" w:eastAsia="Times New Roman" w:hAnsi="Times New Roman" w:cs="Times New Roman"/>
          <w:color w:val="000000"/>
          <w:spacing w:val="0"/>
          <w:w w:val="100"/>
          <w:position w:val="0"/>
          <w:shd w:val="clear" w:color="auto" w:fill="auto"/>
          <w:lang w:val="en-US" w:eastAsia="en-US" w:bidi="en-US"/>
        </w:rPr>
        <w:t xml:space="preserve"> or rules based on the smriti or tradition. The latter class again includes two kinds of treatises:—(1) the </w:t>
      </w:r>
      <w:r>
        <w:rPr>
          <w:rFonts w:ascii="Times New Roman" w:eastAsia="Times New Roman" w:hAnsi="Times New Roman" w:cs="Times New Roman"/>
          <w:i/>
          <w:iCs/>
          <w:color w:val="000000"/>
          <w:spacing w:val="0"/>
          <w:w w:val="100"/>
          <w:position w:val="0"/>
          <w:shd w:val="clear" w:color="auto" w:fill="auto"/>
          <w:lang w:val="en-US" w:eastAsia="en-US" w:bidi="en-US"/>
        </w:rPr>
        <w:t>Grihya-s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tras,</w:t>
      </w:r>
      <w:r>
        <w:rPr>
          <w:rFonts w:ascii="Times New Roman" w:eastAsia="Times New Roman" w:hAnsi="Times New Roman" w:cs="Times New Roman"/>
          <w:color w:val="000000"/>
          <w:spacing w:val="0"/>
          <w:w w:val="100"/>
          <w:position w:val="0"/>
          <w:shd w:val="clear" w:color="auto" w:fill="auto"/>
          <w:lang w:val="en-US" w:eastAsia="en-US" w:bidi="en-US"/>
        </w:rPr>
        <w:t xml:space="preserve"> or domestic rules, treating of ordinary family rites, such as marriage, birth, name-giving, &amp;c., connected with simple offerings in the domestic fire; and (2)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rika-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Dharma-) 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tras,</w:t>
      </w:r>
      <w:r>
        <w:rPr>
          <w:rFonts w:ascii="Times New Roman" w:eastAsia="Times New Roman" w:hAnsi="Times New Roman" w:cs="Times New Roman"/>
          <w:color w:val="000000"/>
          <w:spacing w:val="0"/>
          <w:w w:val="100"/>
          <w:position w:val="0"/>
          <w:shd w:val="clear" w:color="auto" w:fill="auto"/>
          <w:lang w:val="en-US" w:eastAsia="en-US" w:bidi="en-US"/>
        </w:rPr>
        <w:t xml:space="preserve"> which treat of customs and temporal duties, and are supposed to have formed the chief sources of the later law-books. Besides,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rauta-s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tras of the Yajurveda have usually attached to them a set of so-called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ulva-s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tras, i.e.,</w:t>
      </w:r>
      <w:r>
        <w:rPr>
          <w:rFonts w:ascii="Times New Roman" w:eastAsia="Times New Roman" w:hAnsi="Times New Roman" w:cs="Times New Roman"/>
          <w:color w:val="000000"/>
          <w:spacing w:val="0"/>
          <w:w w:val="100"/>
          <w:position w:val="0"/>
          <w:shd w:val="clear" w:color="auto" w:fill="auto"/>
          <w:lang w:val="en-US" w:eastAsia="en-US" w:bidi="en-US"/>
        </w:rPr>
        <w:t xml:space="preserve"> “rules of the cord,” which treat of the measurement by means of cords, and the construction, of different kinds of altars required for sacrifices. These treatises (the study of which has been successfully taken up by Prof. Thibaut of Benares) are of considerable interest as supplying import</w:t>
        <w:softHyphen/>
        <w:t>ant information regarding the earliest geometrical opera</w:t>
        <w:softHyphen/>
        <w:t xml:space="preserve">tions in India. Along with the Sutras may be classed a large number of supplementary treatises, usually called </w:t>
      </w:r>
      <w:r>
        <w:rPr>
          <w:rFonts w:ascii="Times New Roman" w:eastAsia="Times New Roman" w:hAnsi="Times New Roman" w:cs="Times New Roman"/>
          <w:i/>
          <w:iCs/>
          <w:color w:val="000000"/>
          <w:spacing w:val="0"/>
          <w:w w:val="100"/>
          <w:position w:val="0"/>
          <w:shd w:val="clear" w:color="auto" w:fill="auto"/>
          <w:lang w:val="en-US" w:eastAsia="en-US" w:bidi="en-US"/>
        </w:rPr>
        <w:t>Pari</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 xml:space="preserve">ishta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παραλιόμϵνα</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on various subjects connected with the sacred texts and Vedic religion generally.</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this brief characterization of the various branches of Vedic literature, we proceed to take a rapid survey of the several Vedic collections.</w:t>
      </w:r>
    </w:p>
    <w:p>
      <w:pPr>
        <w:pStyle w:val="Style1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Rigveda.@@1—</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Rigveda-samhit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has </w:t>
      </w:r>
      <w:r>
        <w:rPr>
          <w:rFonts w:ascii="Times New Roman" w:eastAsia="Times New Roman" w:hAnsi="Times New Roman" w:cs="Times New Roman"/>
          <w:color w:val="000000"/>
          <w:spacing w:val="0"/>
          <w:w w:val="100"/>
          <w:position w:val="0"/>
          <w:shd w:val="clear" w:color="auto" w:fill="auto"/>
          <w:lang w:val="en-US" w:eastAsia="en-US" w:bidi="en-US"/>
        </w:rPr>
        <w:t xml:space="preserve">come </w:t>
      </w:r>
      <w:r>
        <w:rPr>
          <w:rFonts w:ascii="Times New Roman" w:eastAsia="Times New Roman" w:hAnsi="Times New Roman" w:cs="Times New Roman"/>
          <w:color w:val="000000"/>
          <w:spacing w:val="0"/>
          <w:w w:val="100"/>
          <w:position w:val="0"/>
          <w:shd w:val="clear" w:color="auto" w:fill="auto"/>
          <w:lang w:val="en-US" w:eastAsia="en-US" w:bidi="en-US"/>
        </w:rPr>
        <w:t xml:space="preserve">down to us in the recension of the Sakala school. Mention is </w:t>
      </w:r>
      <w:r>
        <w:rPr>
          <w:rFonts w:ascii="Times New Roman" w:eastAsia="Times New Roman" w:hAnsi="Times New Roman" w:cs="Times New Roman"/>
          <w:color w:val="000000"/>
          <w:spacing w:val="0"/>
          <w:w w:val="100"/>
          <w:position w:val="0"/>
          <w:shd w:val="clear" w:color="auto" w:fill="auto"/>
          <w:lang w:val="en-US" w:eastAsia="en-US" w:bidi="en-US"/>
        </w:rPr>
        <w:t xml:space="preserve">made </w:t>
      </w:r>
      <w:r>
        <w:rPr>
          <w:rFonts w:ascii="Times New Roman" w:eastAsia="Times New Roman" w:hAnsi="Times New Roman" w:cs="Times New Roman"/>
          <w:color w:val="000000"/>
          <w:spacing w:val="0"/>
          <w:w w:val="100"/>
          <w:position w:val="0"/>
          <w:shd w:val="clear" w:color="auto" w:fill="auto"/>
          <w:lang w:val="en-US" w:eastAsia="en-US" w:bidi="en-US"/>
        </w:rPr>
        <w:t xml:space="preserve">of several other versions ; and regarding one of them, that of the </w:t>
      </w:r>
      <w:r>
        <w:rPr>
          <w:rFonts w:ascii="Times New Roman" w:eastAsia="Times New Roman" w:hAnsi="Times New Roman" w:cs="Times New Roman"/>
          <w:color w:val="000000"/>
          <w:spacing w:val="0"/>
          <w:w w:val="100"/>
          <w:position w:val="0"/>
          <w:shd w:val="clear" w:color="auto" w:fill="auto"/>
          <w:lang w:val="en-US" w:eastAsia="en-US" w:bidi="en-US"/>
        </w:rPr>
        <w:t xml:space="preserve">Bashkalas, </w:t>
      </w:r>
      <w:r>
        <w:rPr>
          <w:rFonts w:ascii="Times New Roman" w:eastAsia="Times New Roman" w:hAnsi="Times New Roman" w:cs="Times New Roman"/>
          <w:color w:val="000000"/>
          <w:spacing w:val="0"/>
          <w:w w:val="100"/>
          <w:position w:val="0"/>
          <w:shd w:val="clear" w:color="auto" w:fill="auto"/>
          <w:lang w:val="en-US" w:eastAsia="en-US" w:bidi="en-US"/>
        </w:rPr>
        <w:t xml:space="preserve">we have some further information, according to which it </w:t>
      </w:r>
      <w:r>
        <w:rPr>
          <w:rFonts w:ascii="Times New Roman" w:eastAsia="Times New Roman" w:hAnsi="Times New Roman" w:cs="Times New Roman"/>
          <w:color w:val="000000"/>
          <w:spacing w:val="0"/>
          <w:w w:val="100"/>
          <w:position w:val="0"/>
          <w:shd w:val="clear" w:color="auto" w:fill="auto"/>
          <w:lang w:val="en-US" w:eastAsia="en-US" w:bidi="en-US"/>
        </w:rPr>
        <w:t xml:space="preserve">seems, how- </w:t>
      </w:r>
      <w:r>
        <w:rPr>
          <w:rFonts w:ascii="Times New Roman" w:eastAsia="Times New Roman" w:hAnsi="Times New Roman" w:cs="Times New Roman"/>
          <w:color w:val="000000"/>
          <w:spacing w:val="0"/>
          <w:w w:val="100"/>
          <w:position w:val="0"/>
          <w:shd w:val="clear" w:color="auto" w:fill="auto"/>
          <w:lang w:val="en-US" w:eastAsia="en-US" w:bidi="en-US"/>
        </w:rPr>
        <w:t xml:space="preserve">ever, to have differed but little from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Sakala </w:t>
      </w:r>
      <w:r>
        <w:rPr>
          <w:rFonts w:ascii="Times New Roman" w:eastAsia="Times New Roman" w:hAnsi="Times New Roman" w:cs="Times New Roman"/>
          <w:color w:val="000000"/>
          <w:spacing w:val="0"/>
          <w:w w:val="100"/>
          <w:position w:val="0"/>
          <w:shd w:val="clear" w:color="auto" w:fill="auto"/>
          <w:lang w:val="en-US" w:eastAsia="en-US" w:bidi="en-US"/>
        </w:rPr>
        <w:t xml:space="preserve">text. The latter </w:t>
      </w:r>
      <w:r>
        <w:rPr>
          <w:rFonts w:ascii="Times New Roman" w:eastAsia="Times New Roman" w:hAnsi="Times New Roman" w:cs="Times New Roman"/>
          <w:color w:val="000000"/>
          <w:spacing w:val="0"/>
          <w:w w:val="100"/>
          <w:position w:val="0"/>
          <w:shd w:val="clear" w:color="auto" w:fill="auto"/>
          <w:lang w:val="en-US" w:eastAsia="en-US" w:bidi="en-US"/>
        </w:rPr>
        <w:t xml:space="preserve">consists of 1028 hymns, including eleven so-called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âl</w:t>
      </w:r>
      <w:r>
        <w:rPr>
          <w:rFonts w:ascii="Times New Roman" w:eastAsia="Times New Roman" w:hAnsi="Times New Roman" w:cs="Times New Roman"/>
          <w:i/>
          <w:iCs/>
          <w:color w:val="000000"/>
          <w:spacing w:val="0"/>
          <w:w w:val="100"/>
          <w:position w:val="0"/>
          <w:shd w:val="clear" w:color="auto" w:fill="auto"/>
          <w:lang w:val="en-US" w:eastAsia="en-US" w:bidi="en-US"/>
        </w:rPr>
        <w:t xml:space="preserve">akhilyas, </w:t>
      </w:r>
      <w:r>
        <w:rPr>
          <w:rFonts w:ascii="Times New Roman" w:eastAsia="Times New Roman" w:hAnsi="Times New Roman" w:cs="Times New Roman"/>
          <w:color w:val="000000"/>
          <w:spacing w:val="0"/>
          <w:w w:val="100"/>
          <w:position w:val="0"/>
          <w:shd w:val="clear" w:color="auto" w:fill="auto"/>
          <w:lang w:val="en-US" w:eastAsia="en-US" w:bidi="en-US"/>
        </w:rPr>
        <w:t xml:space="preserve">which were probably introduced into the collection subsequently to its completion. The hymns are composed in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great variety of metres, and consist, on an average, of rather more than </w:t>
      </w:r>
      <w:r>
        <w:rPr>
          <w:rFonts w:ascii="Times New Roman" w:eastAsia="Times New Roman" w:hAnsi="Times New Roman" w:cs="Times New Roman"/>
          <w:color w:val="000000"/>
          <w:spacing w:val="0"/>
          <w:w w:val="100"/>
          <w:position w:val="0"/>
          <w:shd w:val="clear" w:color="auto" w:fill="auto"/>
          <w:lang w:val="en-US" w:eastAsia="en-US" w:bidi="en-US"/>
        </w:rPr>
        <w:t xml:space="preserve">10 verses </w:t>
      </w:r>
      <w:r>
        <w:rPr>
          <w:rFonts w:ascii="Times New Roman" w:eastAsia="Times New Roman" w:hAnsi="Times New Roman" w:cs="Times New Roman"/>
          <w:color w:val="000000"/>
          <w:spacing w:val="0"/>
          <w:w w:val="100"/>
          <w:position w:val="0"/>
          <w:shd w:val="clear" w:color="auto" w:fill="auto"/>
          <w:lang w:val="en-US" w:eastAsia="en-US" w:bidi="en-US"/>
        </w:rPr>
        <w:t xml:space="preserve">each, or about 10,600 verses </w:t>
      </w:r>
      <w:r>
        <w:rPr>
          <w:rFonts w:ascii="Times New Roman" w:eastAsia="Times New Roman" w:hAnsi="Times New Roman" w:cs="Times New Roman"/>
          <w:color w:val="000000"/>
          <w:spacing w:val="0"/>
          <w:w w:val="100"/>
          <w:position w:val="0"/>
          <w:shd w:val="clear" w:color="auto" w:fill="auto"/>
          <w:lang w:val="en-US" w:eastAsia="en-US" w:bidi="en-US"/>
        </w:rPr>
        <w:t xml:space="preserve">altogether.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body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sacred lyrics </w:t>
      </w:r>
      <w:r>
        <w:rPr>
          <w:rFonts w:ascii="Times New Roman" w:eastAsia="Times New Roman" w:hAnsi="Times New Roman" w:cs="Times New Roman"/>
          <w:color w:val="000000"/>
          <w:spacing w:val="0"/>
          <w:w w:val="100"/>
          <w:position w:val="0"/>
          <w:shd w:val="clear" w:color="auto" w:fill="auto"/>
          <w:lang w:val="en-US" w:eastAsia="en-US" w:bidi="en-US"/>
        </w:rPr>
        <w:t xml:space="preserve">has been subdivided by ancient authorities in a </w:t>
      </w:r>
      <w:r>
        <w:rPr>
          <w:rFonts w:ascii="Times New Roman" w:eastAsia="Times New Roman" w:hAnsi="Times New Roman" w:cs="Times New Roman"/>
          <w:color w:val="000000"/>
          <w:spacing w:val="0"/>
          <w:w w:val="100"/>
          <w:position w:val="0"/>
          <w:shd w:val="clear" w:color="auto" w:fill="auto"/>
          <w:lang w:val="en-US" w:eastAsia="en-US" w:bidi="en-US"/>
        </w:rPr>
        <w:t xml:space="preserve">twofold </w:t>
      </w:r>
      <w:r>
        <w:rPr>
          <w:rFonts w:ascii="Times New Roman" w:eastAsia="Times New Roman" w:hAnsi="Times New Roman" w:cs="Times New Roman"/>
          <w:color w:val="000000"/>
          <w:spacing w:val="0"/>
          <w:w w:val="100"/>
          <w:position w:val="0"/>
          <w:shd w:val="clear" w:color="auto" w:fill="auto"/>
          <w:lang w:val="en-US" w:eastAsia="en-US" w:bidi="en-US"/>
        </w:rPr>
        <w:t xml:space="preserve">way, viz., either from a purely artificial point of view, into eight </w:t>
      </w:r>
      <w:r>
        <w:rPr>
          <w:rFonts w:ascii="Times New Roman" w:eastAsia="Times New Roman" w:hAnsi="Times New Roman" w:cs="Times New Roman"/>
          <w:i/>
          <w:iCs/>
          <w:color w:val="000000"/>
          <w:spacing w:val="0"/>
          <w:w w:val="100"/>
          <w:position w:val="0"/>
          <w:shd w:val="clear" w:color="auto" w:fill="auto"/>
          <w:lang w:val="en-US" w:eastAsia="en-US" w:bidi="en-US"/>
        </w:rPr>
        <w:t>ashtakas</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en-US" w:eastAsia="en-US" w:bidi="en-US"/>
        </w:rPr>
        <w:t xml:space="preserve">about equal length, or, on a more natural principle, </w:t>
      </w:r>
      <w:r>
        <w:rPr>
          <w:rFonts w:ascii="Times New Roman" w:eastAsia="Times New Roman" w:hAnsi="Times New Roman" w:cs="Times New Roman"/>
          <w:color w:val="000000"/>
          <w:spacing w:val="0"/>
          <w:w w:val="100"/>
          <w:position w:val="0"/>
          <w:shd w:val="clear" w:color="auto" w:fill="auto"/>
          <w:lang w:val="en-US" w:eastAsia="en-US" w:bidi="en-US"/>
        </w:rPr>
        <w:t xml:space="preserve">based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origin of the hymns, and invariably adopted by </w:t>
      </w:r>
      <w:r>
        <w:rPr>
          <w:rFonts w:ascii="Times New Roman" w:eastAsia="Times New Roman" w:hAnsi="Times New Roman" w:cs="Times New Roman"/>
          <w:color w:val="000000"/>
          <w:spacing w:val="0"/>
          <w:w w:val="100"/>
          <w:position w:val="0"/>
          <w:shd w:val="clear" w:color="auto" w:fill="auto"/>
          <w:lang w:val="en-US" w:eastAsia="en-US" w:bidi="en-US"/>
        </w:rPr>
        <w:t xml:space="preserve">European scholars, </w:t>
      </w:r>
      <w:r>
        <w:rPr>
          <w:rFonts w:ascii="Times New Roman" w:eastAsia="Times New Roman" w:hAnsi="Times New Roman" w:cs="Times New Roman"/>
          <w:color w:val="000000"/>
          <w:spacing w:val="0"/>
          <w:w w:val="100"/>
          <w:position w:val="0"/>
          <w:shd w:val="clear" w:color="auto" w:fill="auto"/>
          <w:lang w:val="en-US" w:eastAsia="en-US" w:bidi="en-US"/>
        </w:rPr>
        <w:t xml:space="preserve">into ten books,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mandalas,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unequal </w:t>
      </w:r>
      <w:r>
        <w:rPr>
          <w:rFonts w:ascii="Times New Roman" w:eastAsia="Times New Roman" w:hAnsi="Times New Roman" w:cs="Times New Roman"/>
          <w:color w:val="000000"/>
          <w:spacing w:val="0"/>
          <w:w w:val="100"/>
          <w:position w:val="0"/>
          <w:shd w:val="clear" w:color="auto" w:fill="auto"/>
          <w:lang w:val="en-US" w:eastAsia="en-US" w:bidi="en-US"/>
        </w:rPr>
        <w:t xml:space="preserve">length. Tradition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however, always trustworthy in this </w:t>
      </w:r>
      <w:r>
        <w:rPr>
          <w:rFonts w:ascii="Times New Roman" w:eastAsia="Times New Roman" w:hAnsi="Times New Roman" w:cs="Times New Roman"/>
          <w:color w:val="000000"/>
          <w:spacing w:val="0"/>
          <w:w w:val="100"/>
          <w:position w:val="0"/>
          <w:shd w:val="clear" w:color="auto" w:fill="auto"/>
          <w:lang w:val="en-US" w:eastAsia="en-US" w:bidi="en-US"/>
        </w:rPr>
        <w:t xml:space="preserve">respect) has handed </w:t>
      </w:r>
      <w:r>
        <w:rPr>
          <w:rFonts w:ascii="Times New Roman" w:eastAsia="Times New Roman" w:hAnsi="Times New Roman" w:cs="Times New Roman"/>
          <w:color w:val="000000"/>
          <w:spacing w:val="0"/>
          <w:w w:val="100"/>
          <w:position w:val="0"/>
          <w:shd w:val="clear" w:color="auto" w:fill="auto"/>
          <w:lang w:val="en-US" w:eastAsia="en-US" w:bidi="en-US"/>
        </w:rPr>
        <w:t xml:space="preserve">down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names of the reputed authors, or </w:t>
      </w:r>
      <w:r>
        <w:rPr>
          <w:rFonts w:ascii="Times New Roman" w:eastAsia="Times New Roman" w:hAnsi="Times New Roman" w:cs="Times New Roman"/>
          <w:color w:val="000000"/>
          <w:spacing w:val="0"/>
          <w:w w:val="100"/>
          <w:position w:val="0"/>
          <w:shd w:val="clear" w:color="auto" w:fill="auto"/>
          <w:lang w:val="en-US" w:eastAsia="en-US" w:bidi="en-US"/>
        </w:rPr>
        <w:t xml:space="preserve">rather inspired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seers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(rishi),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most hymns. These indications have enabled </w:t>
      </w:r>
      <w:r>
        <w:rPr>
          <w:rFonts w:ascii="Times New Roman" w:eastAsia="Times New Roman" w:hAnsi="Times New Roman" w:cs="Times New Roman"/>
          <w:color w:val="000000"/>
          <w:spacing w:val="0"/>
          <w:w w:val="100"/>
          <w:position w:val="0"/>
          <w:shd w:val="clear" w:color="auto" w:fill="auto"/>
          <w:lang w:val="en-US" w:eastAsia="en-US" w:bidi="en-US"/>
        </w:rPr>
        <w:t xml:space="preserve">scholars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form some </w:t>
      </w:r>
      <w:r>
        <w:rPr>
          <w:rFonts w:ascii="Times New Roman" w:eastAsia="Times New Roman" w:hAnsi="Times New Roman" w:cs="Times New Roman"/>
          <w:color w:val="000000"/>
          <w:spacing w:val="0"/>
          <w:w w:val="100"/>
          <w:position w:val="0"/>
          <w:shd w:val="clear" w:color="auto" w:fill="auto"/>
          <w:lang w:val="en-US" w:eastAsia="en-US" w:bidi="en-US"/>
        </w:rPr>
        <w:t xml:space="preserve">idea as to the probable way in which the Rik-samhita originated, though much still remains to be cleared up by </w:t>
      </w:r>
      <w:r>
        <w:rPr>
          <w:rFonts w:ascii="Times New Roman" w:eastAsia="Times New Roman" w:hAnsi="Times New Roman" w:cs="Times New Roman"/>
          <w:color w:val="000000"/>
          <w:spacing w:val="0"/>
          <w:w w:val="100"/>
          <w:position w:val="0"/>
          <w:shd w:val="clear" w:color="auto" w:fill="auto"/>
          <w:lang w:val="en-US" w:eastAsia="en-US" w:bidi="en-US"/>
        </w:rPr>
        <w:t>future research.</w:t>
      </w:r>
    </w:p>
    <w:p>
      <w:pPr>
        <w:pStyle w:val="Style1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first place, mandalas ii.-vii. are </w:t>
      </w:r>
      <w:r>
        <w:rPr>
          <w:rFonts w:ascii="Times New Roman" w:eastAsia="Times New Roman" w:hAnsi="Times New Roman" w:cs="Times New Roman"/>
          <w:color w:val="000000"/>
          <w:spacing w:val="0"/>
          <w:w w:val="100"/>
          <w:position w:val="0"/>
          <w:shd w:val="clear" w:color="auto" w:fill="auto"/>
          <w:lang w:val="en-US" w:eastAsia="en-US" w:bidi="en-US"/>
        </w:rPr>
        <w:t xml:space="preserve">evidently arranged on a </w:t>
      </w:r>
      <w:r>
        <w:rPr>
          <w:rFonts w:ascii="Times New Roman" w:eastAsia="Times New Roman" w:hAnsi="Times New Roman" w:cs="Times New Roman"/>
          <w:color w:val="000000"/>
          <w:spacing w:val="0"/>
          <w:w w:val="100"/>
          <w:position w:val="0"/>
          <w:shd w:val="clear" w:color="auto" w:fill="auto"/>
          <w:lang w:val="en-US" w:eastAsia="en-US" w:bidi="en-US"/>
        </w:rPr>
        <w:t xml:space="preserve">uniform plan. Each of </w:t>
      </w:r>
      <w:r>
        <w:rPr>
          <w:rFonts w:ascii="Times New Roman" w:eastAsia="Times New Roman" w:hAnsi="Times New Roman" w:cs="Times New Roman"/>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ascribed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 different family of </w:t>
      </w:r>
      <w:r>
        <w:rPr>
          <w:rFonts w:ascii="Times New Roman" w:eastAsia="Times New Roman" w:hAnsi="Times New Roman" w:cs="Times New Roman"/>
          <w:color w:val="000000"/>
          <w:spacing w:val="0"/>
          <w:w w:val="100"/>
          <w:position w:val="0"/>
          <w:shd w:val="clear" w:color="auto" w:fill="auto"/>
          <w:lang w:val="en-US" w:eastAsia="en-US" w:bidi="en-US"/>
        </w:rPr>
        <w:t xml:space="preserve">rishis, whence they are </w:t>
      </w:r>
      <w:r>
        <w:rPr>
          <w:rFonts w:ascii="Times New Roman" w:eastAsia="Times New Roman" w:hAnsi="Times New Roman" w:cs="Times New Roman"/>
          <w:color w:val="000000"/>
          <w:spacing w:val="0"/>
          <w:w w:val="100"/>
          <w:position w:val="0"/>
          <w:shd w:val="clear" w:color="auto" w:fill="auto"/>
          <w:lang w:val="en-US" w:eastAsia="en-US" w:bidi="en-US"/>
        </w:rPr>
        <w:t xml:space="preserve">usually called the six “family-books — </w:t>
      </w: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 xml:space="preserve">the Gritsamadas; </w:t>
      </w: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color w:val="000000"/>
          <w:spacing w:val="0"/>
          <w:w w:val="100"/>
          <w:position w:val="0"/>
          <w:shd w:val="clear" w:color="auto" w:fill="auto"/>
          <w:lang w:val="en-US" w:eastAsia="en-US" w:bidi="en-US"/>
        </w:rPr>
        <w:t>the Visvamitras or Kusikas; iv., the 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ma- </w:t>
      </w:r>
      <w:r>
        <w:rPr>
          <w:rFonts w:ascii="Times New Roman" w:eastAsia="Times New Roman" w:hAnsi="Times New Roman" w:cs="Times New Roman"/>
          <w:color w:val="000000"/>
          <w:spacing w:val="0"/>
          <w:w w:val="100"/>
          <w:position w:val="0"/>
          <w:shd w:val="clear" w:color="auto" w:fill="auto"/>
          <w:lang w:val="en-US" w:eastAsia="en-US" w:bidi="en-US"/>
        </w:rPr>
        <w:t xml:space="preserve">devyas; v.,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Atris; vi., </w:t>
      </w:r>
      <w:r>
        <w:rPr>
          <w:rFonts w:ascii="Times New Roman" w:eastAsia="Times New Roman" w:hAnsi="Times New Roman" w:cs="Times New Roman"/>
          <w:color w:val="000000"/>
          <w:spacing w:val="0"/>
          <w:w w:val="100"/>
          <w:position w:val="0"/>
          <w:shd w:val="clear" w:color="auto" w:fill="auto"/>
          <w:lang w:val="en-US" w:eastAsia="en-US" w:bidi="en-US"/>
        </w:rPr>
        <w:t xml:space="preserve">the Bharadvajas; and vii., the Vasishthas. </w:t>
      </w:r>
      <w:r>
        <w:rPr>
          <w:rFonts w:ascii="Times New Roman" w:eastAsia="Times New Roman" w:hAnsi="Times New Roman" w:cs="Times New Roman"/>
          <w:color w:val="000000"/>
          <w:spacing w:val="0"/>
          <w:w w:val="100"/>
          <w:position w:val="0"/>
          <w:shd w:val="clear" w:color="auto" w:fill="auto"/>
          <w:lang w:val="en-US" w:eastAsia="en-US" w:bidi="en-US"/>
        </w:rPr>
        <w:t xml:space="preserve">Further, </w:t>
      </w:r>
      <w:r>
        <w:rPr>
          <w:rFonts w:ascii="Times New Roman" w:eastAsia="Times New Roman" w:hAnsi="Times New Roman" w:cs="Times New Roman"/>
          <w:color w:val="000000"/>
          <w:spacing w:val="0"/>
          <w:w w:val="100"/>
          <w:position w:val="0"/>
          <w:shd w:val="clear" w:color="auto" w:fill="auto"/>
          <w:lang w:val="en-US" w:eastAsia="en-US" w:bidi="en-US"/>
        </w:rPr>
        <w:t xml:space="preserve">each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these books begins with the hymns addressed to Agni,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god </w:t>
      </w:r>
      <w:r>
        <w:rPr>
          <w:rFonts w:ascii="Times New Roman" w:eastAsia="Times New Roman" w:hAnsi="Times New Roman" w:cs="Times New Roman"/>
          <w:color w:val="000000"/>
          <w:spacing w:val="0"/>
          <w:w w:val="100"/>
          <w:position w:val="0"/>
          <w:shd w:val="clear" w:color="auto" w:fill="auto"/>
          <w:lang w:val="en-US" w:eastAsia="en-US" w:bidi="en-US"/>
        </w:rPr>
        <w:t xml:space="preserve">of fire, which </w:t>
      </w:r>
      <w:r>
        <w:rPr>
          <w:rFonts w:ascii="Times New Roman" w:eastAsia="Times New Roman" w:hAnsi="Times New Roman" w:cs="Times New Roman"/>
          <w:color w:val="000000"/>
          <w:spacing w:val="0"/>
          <w:w w:val="100"/>
          <w:position w:val="0"/>
          <w:shd w:val="clear" w:color="auto" w:fill="auto"/>
          <w:lang w:val="en-US" w:eastAsia="en-US" w:bidi="en-US"/>
        </w:rPr>
        <w:t xml:space="preserve">are followed by those to Indra, the </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upiter Pluvius, whereupon follow those addressed to minor deities— the </w:t>
      </w:r>
      <w:r>
        <w:rPr>
          <w:rFonts w:ascii="Times New Roman" w:eastAsia="Times New Roman" w:hAnsi="Times New Roman" w:cs="Times New Roman"/>
          <w:color w:val="000000"/>
          <w:spacing w:val="0"/>
          <w:w w:val="100"/>
          <w:position w:val="0"/>
          <w:shd w:val="clear" w:color="auto" w:fill="auto"/>
          <w:lang w:val="en-US" w:eastAsia="en-US" w:bidi="en-US"/>
        </w:rPr>
        <w:t xml:space="preserve">Visve </w:t>
      </w:r>
      <w:r>
        <w:rPr>
          <w:rFonts w:ascii="Times New Roman" w:eastAsia="Times New Roman" w:hAnsi="Times New Roman" w:cs="Times New Roman"/>
          <w:color w:val="000000"/>
          <w:spacing w:val="0"/>
          <w:w w:val="100"/>
          <w:position w:val="0"/>
          <w:shd w:val="clear" w:color="auto" w:fill="auto"/>
          <w:lang w:val="en-US" w:eastAsia="en-US" w:bidi="en-US"/>
        </w:rPr>
        <w:t xml:space="preserve">Devah (“ all-gods ”), the Maruts (storm-gods), &amp;c. Again, </w:t>
      </w:r>
      <w:r>
        <w:rPr>
          <w:rFonts w:ascii="Times New Roman" w:eastAsia="Times New Roman" w:hAnsi="Times New Roman" w:cs="Times New Roman"/>
          <w:color w:val="000000"/>
          <w:spacing w:val="0"/>
          <w:w w:val="100"/>
          <w:position w:val="0"/>
          <w:shd w:val="clear" w:color="auto" w:fill="auto"/>
          <w:lang w:val="en-US" w:eastAsia="en-US" w:bidi="en-US"/>
        </w:rPr>
        <w:t xml:space="preserve">the hymns </w:t>
      </w:r>
      <w:r>
        <w:rPr>
          <w:rFonts w:ascii="Times New Roman" w:eastAsia="Times New Roman" w:hAnsi="Times New Roman" w:cs="Times New Roman"/>
          <w:color w:val="000000"/>
          <w:spacing w:val="0"/>
          <w:w w:val="100"/>
          <w:position w:val="0"/>
          <w:shd w:val="clear" w:color="auto" w:fill="auto"/>
          <w:lang w:val="en-US" w:eastAsia="en-US" w:bidi="en-US"/>
        </w:rPr>
        <w:t xml:space="preserve">addressed to each deity are arranged (as Prof. Delbriick </w:t>
      </w:r>
      <w:r>
        <w:rPr>
          <w:rFonts w:ascii="Times New Roman" w:eastAsia="Times New Roman" w:hAnsi="Times New Roman" w:cs="Times New Roman"/>
          <w:color w:val="000000"/>
          <w:spacing w:val="0"/>
          <w:w w:val="100"/>
          <w:position w:val="0"/>
          <w:shd w:val="clear" w:color="auto" w:fill="auto"/>
          <w:lang w:val="en-US" w:eastAsia="en-US" w:bidi="en-US"/>
        </w:rPr>
        <w:t xml:space="preserve">has shown) in a </w:t>
      </w:r>
      <w:r>
        <w:rPr>
          <w:rFonts w:ascii="Times New Roman" w:eastAsia="Times New Roman" w:hAnsi="Times New Roman" w:cs="Times New Roman"/>
          <w:color w:val="000000"/>
          <w:spacing w:val="0"/>
          <w:w w:val="100"/>
          <w:position w:val="0"/>
          <w:shd w:val="clear" w:color="auto" w:fill="auto"/>
          <w:lang w:val="en-US" w:eastAsia="en-US" w:bidi="en-US"/>
        </w:rPr>
        <w:t xml:space="preserve">descending order, according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number of verses </w:t>
      </w:r>
      <w:r>
        <w:rPr>
          <w:rFonts w:ascii="Times New Roman" w:eastAsia="Times New Roman" w:hAnsi="Times New Roman" w:cs="Times New Roman"/>
          <w:color w:val="000000"/>
          <w:spacing w:val="0"/>
          <w:w w:val="100"/>
          <w:position w:val="0"/>
          <w:shd w:val="clear" w:color="auto" w:fill="auto"/>
          <w:lang w:val="en-US" w:eastAsia="en-US" w:bidi="en-US"/>
        </w:rPr>
        <w:t>of which they consist.</w:t>
      </w:r>
    </w:p>
    <w:p>
      <w:pPr>
        <w:pStyle w:val="Style1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mandala, the </w:t>
      </w:r>
      <w:r>
        <w:rPr>
          <w:rFonts w:ascii="Times New Roman" w:eastAsia="Times New Roman" w:hAnsi="Times New Roman" w:cs="Times New Roman"/>
          <w:color w:val="000000"/>
          <w:spacing w:val="0"/>
          <w:w w:val="100"/>
          <w:position w:val="0"/>
          <w:shd w:val="clear" w:color="auto" w:fill="auto"/>
          <w:lang w:val="en-US" w:eastAsia="en-US" w:bidi="en-US"/>
        </w:rPr>
        <w:t xml:space="preserve">longest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whole </w:t>
      </w:r>
      <w:r>
        <w:rPr>
          <w:rFonts w:ascii="Times New Roman" w:eastAsia="Times New Roman" w:hAnsi="Times New Roman" w:cs="Times New Roman"/>
          <w:color w:val="000000"/>
          <w:spacing w:val="0"/>
          <w:w w:val="100"/>
          <w:position w:val="0"/>
          <w:shd w:val="clear" w:color="auto" w:fill="auto"/>
          <w:lang w:val="en-US" w:eastAsia="en-US" w:bidi="en-US"/>
        </w:rPr>
        <w:t xml:space="preserve">Samhita, contains </w:t>
      </w:r>
      <w:r>
        <w:rPr>
          <w:rFonts w:ascii="Times New Roman" w:eastAsia="Times New Roman" w:hAnsi="Times New Roman" w:cs="Times New Roman"/>
          <w:color w:val="000000"/>
          <w:spacing w:val="0"/>
          <w:w w:val="100"/>
          <w:position w:val="0"/>
          <w:shd w:val="clear" w:color="auto" w:fill="auto"/>
          <w:lang w:val="en-US" w:eastAsia="en-US" w:bidi="en-US"/>
        </w:rPr>
        <w:t xml:space="preserve">191 hymns, ascribed, with </w:t>
      </w:r>
      <w:r>
        <w:rPr>
          <w:rFonts w:ascii="Times New Roman" w:eastAsia="Times New Roman" w:hAnsi="Times New Roman" w:cs="Times New Roman"/>
          <w:color w:val="000000"/>
          <w:spacing w:val="0"/>
          <w:w w:val="100"/>
          <w:position w:val="0"/>
          <w:shd w:val="clear" w:color="auto" w:fill="auto"/>
          <w:lang w:val="en-US" w:eastAsia="en-US" w:bidi="en-US"/>
        </w:rPr>
        <w:t xml:space="preserve">the exception of a few isolated ones,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sixteen poets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different families. Here again the hymns of </w:t>
      </w:r>
      <w:r>
        <w:rPr>
          <w:rFonts w:ascii="Times New Roman" w:eastAsia="Times New Roman" w:hAnsi="Times New Roman" w:cs="Times New Roman"/>
          <w:color w:val="000000"/>
          <w:spacing w:val="0"/>
          <w:w w:val="100"/>
          <w:position w:val="0"/>
          <w:shd w:val="clear" w:color="auto" w:fill="auto"/>
          <w:lang w:val="en-US" w:eastAsia="en-US" w:bidi="en-US"/>
        </w:rPr>
        <w:t xml:space="preserve">each author are </w:t>
      </w:r>
      <w:r>
        <w:rPr>
          <w:rFonts w:ascii="Times New Roman" w:eastAsia="Times New Roman" w:hAnsi="Times New Roman" w:cs="Times New Roman"/>
          <w:color w:val="000000"/>
          <w:spacing w:val="0"/>
          <w:w w:val="100"/>
          <w:position w:val="0"/>
          <w:shd w:val="clear" w:color="auto" w:fill="auto"/>
          <w:lang w:val="en-US" w:eastAsia="en-US" w:bidi="en-US"/>
        </w:rPr>
        <w:t>arranged on precisely the same principle as the</w:t>
      </w:r>
    </w:p>
    <w:p>
      <w:pPr>
        <w:widowControl w:val="0"/>
      </w:pPr>
    </w:p>
    <w:p>
      <w:pPr>
        <w:pStyle w:val="Style1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family-books.” The eighth and ninth books, on the other hand, have a special character of their own. To the Siimaveda-sarphita, which, as wo shall see, consists almost entirely of verses chosen from the Rik for chanting purposes, these two mandalas have contributed a much larger proportion of verses than any of the others. Now, the hymns of the eighth book are ascribed to a number of different rishis, mostly belonging to the Kanva family. The productions of each poet are usually, though not always, grouped together, but no other principle of arrangement has yet been discovered. The chief peculiarity of this mandala, however, consists in its metres. Many of the hymns are composed in the form of stanzas, called </w:t>
      </w:r>
      <w:r>
        <w:rPr>
          <w:rFonts w:ascii="Times New Roman" w:eastAsia="Times New Roman" w:hAnsi="Times New Roman" w:cs="Times New Roman"/>
          <w:i/>
          <w:iCs/>
          <w:color w:val="000000"/>
          <w:spacing w:val="0"/>
          <w:w w:val="100"/>
          <w:position w:val="0"/>
          <w:shd w:val="clear" w:color="auto" w:fill="auto"/>
          <w:lang w:val="en-US" w:eastAsia="en-US" w:bidi="en-US"/>
        </w:rPr>
        <w:t>prag</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tha</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sing”), consisting of two verses in the </w:t>
      </w:r>
      <w:r>
        <w:rPr>
          <w:rFonts w:ascii="Times New Roman" w:eastAsia="Times New Roman" w:hAnsi="Times New Roman" w:cs="Times New Roman"/>
          <w:i/>
          <w:iCs/>
          <w:color w:val="000000"/>
          <w:spacing w:val="0"/>
          <w:w w:val="100"/>
          <w:position w:val="0"/>
          <w:shd w:val="clear" w:color="auto" w:fill="auto"/>
          <w:lang w:val="en-US" w:eastAsia="en-US" w:bidi="en-US"/>
        </w:rPr>
        <w:t>brihat</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satobrihat</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 metres ; whence this book is usually known under the designation of Pragathah. The other metres met with in this book are likewise such as were evidently considered peculiarly adapted for singing, viz., the </w:t>
      </w:r>
      <w:r>
        <w:rPr>
          <w:rFonts w:ascii="Times New Roman" w:eastAsia="Times New Roman" w:hAnsi="Times New Roman" w:cs="Times New Roman"/>
          <w:i/>
          <w:iCs/>
          <w:color w:val="000000"/>
          <w:spacing w:val="0"/>
          <w:w w:val="100"/>
          <w:position w:val="0"/>
          <w:shd w:val="clear" w:color="auto" w:fill="auto"/>
          <w:lang w:val="en-US" w:eastAsia="en-US" w:bidi="en-US"/>
        </w:rPr>
        <w:t>gdyaM</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gd,</w:t>
      </w:r>
      <w:r>
        <w:rPr>
          <w:rFonts w:ascii="Times New Roman" w:eastAsia="Times New Roman" w:hAnsi="Times New Roman" w:cs="Times New Roman"/>
          <w:color w:val="000000"/>
          <w:spacing w:val="0"/>
          <w:w w:val="100"/>
          <w:position w:val="0"/>
          <w:shd w:val="clear" w:color="auto" w:fill="auto"/>
          <w:lang w:val="en-US" w:eastAsia="en-US" w:bidi="en-US"/>
        </w:rPr>
        <w:t xml:space="preserve"> “to sing”) and other chiefly octosyllabic metres. It is not yet clear how to account for these peculiarities ; but further research may perhaps show that either the Kanvas were a family of udgatars, or chanters, or that, before the establishment of a common system of worship for the Brahmanical community, they were accustomed to carry on their liturgical service exclusively by means of chants, instead of using the later form of mixed recitation and chant. One of the rishis of this family is called Pragatha Kanva ; possibly this sur- name “pragatha” may be an old, or local, synonym of udgatar, or perhaps of the chief chanter, the so-called </w:t>
      </w:r>
      <w:r>
        <w:rPr>
          <w:rFonts w:ascii="Times New Roman" w:eastAsia="Times New Roman" w:hAnsi="Times New Roman" w:cs="Times New Roman"/>
          <w:i/>
          <w:iCs/>
          <w:color w:val="000000"/>
          <w:spacing w:val="0"/>
          <w:w w:val="100"/>
          <w:position w:val="0"/>
          <w:shd w:val="clear" w:color="auto" w:fill="auto"/>
          <w:lang w:val="en-US" w:eastAsia="en-US" w:bidi="en-US"/>
        </w:rPr>
        <w:t>Prastotar,</w:t>
      </w:r>
      <w:r>
        <w:rPr>
          <w:rFonts w:ascii="Times New Roman" w:eastAsia="Times New Roman" w:hAnsi="Times New Roman" w:cs="Times New Roman"/>
          <w:color w:val="000000"/>
          <w:spacing w:val="0"/>
          <w:w w:val="100"/>
          <w:position w:val="0"/>
          <w:shd w:val="clear" w:color="auto" w:fill="auto"/>
          <w:lang w:val="en-US" w:eastAsia="en-US" w:bidi="en-US"/>
        </w:rPr>
        <w:t xml:space="preserve"> or pre</w:t>
        <w:softHyphen/>
        <w:t xml:space="preserve">centor. The ninth mandala, on the other hand, consists entirely of hymns (114) addressed to </w:t>
      </w:r>
      <w:r>
        <w:rPr>
          <w:rFonts w:ascii="Times New Roman" w:eastAsia="Times New Roman" w:hAnsi="Times New Roman" w:cs="Times New Roman"/>
          <w:i/>
          <w:iCs/>
          <w:color w:val="000000"/>
          <w:spacing w:val="0"/>
          <w:w w:val="100"/>
          <w:position w:val="0"/>
          <w:shd w:val="clear" w:color="auto" w:fill="auto"/>
          <w:lang w:val="en-US" w:eastAsia="en-US" w:bidi="en-US"/>
        </w:rPr>
        <w:t>Soma,</w:t>
      </w:r>
      <w:r>
        <w:rPr>
          <w:rFonts w:ascii="Times New Roman" w:eastAsia="Times New Roman" w:hAnsi="Times New Roman" w:cs="Times New Roman"/>
          <w:color w:val="000000"/>
          <w:spacing w:val="0"/>
          <w:w w:val="100"/>
          <w:position w:val="0"/>
          <w:shd w:val="clear" w:color="auto" w:fill="auto"/>
          <w:lang w:val="en-US" w:eastAsia="en-US" w:bidi="en-US"/>
        </w:rPr>
        <w:t xml:space="preserve"> the deified juice of the so-called “moon-plant” </w:t>
      </w:r>
      <w:r>
        <w:rPr>
          <w:rFonts w:ascii="Times New Roman" w:eastAsia="Times New Roman" w:hAnsi="Times New Roman" w:cs="Times New Roman"/>
          <w:i/>
          <w:iCs/>
          <w:color w:val="000000"/>
          <w:spacing w:val="0"/>
          <w:w w:val="100"/>
          <w:position w:val="0"/>
          <w:shd w:val="clear" w:color="auto" w:fill="auto"/>
          <w:lang w:val="en-US" w:eastAsia="en-US" w:bidi="en-US"/>
        </w:rPr>
        <w:t>(Sarcostemma viminale,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Asclepias acida),</w:t>
      </w:r>
      <w:r>
        <w:rPr>
          <w:rFonts w:ascii="Times New Roman" w:eastAsia="Times New Roman" w:hAnsi="Times New Roman" w:cs="Times New Roman"/>
          <w:color w:val="000000"/>
          <w:spacing w:val="0"/>
          <w:w w:val="100"/>
          <w:position w:val="0"/>
          <w:shd w:val="clear" w:color="auto" w:fill="auto"/>
          <w:lang w:val="en-US" w:eastAsia="en-US" w:bidi="en-US"/>
        </w:rPr>
        <w:t xml:space="preserve"> and ascribed to poets of different families. They are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pavamdnt, </w:t>
      </w:r>
      <w:r>
        <w:rPr>
          <w:rFonts w:ascii="Times New Roman" w:eastAsia="Times New Roman" w:hAnsi="Times New Roman" w:cs="Times New Roman"/>
          <w:color w:val="000000"/>
          <w:spacing w:val="0"/>
          <w:w w:val="100"/>
          <w:position w:val="0"/>
          <w:shd w:val="clear" w:color="auto" w:fill="auto"/>
          <w:lang w:val="en-US" w:eastAsia="en-US" w:bidi="en-US"/>
        </w:rPr>
        <w:t xml:space="preserve">“ purificational,” because they were to be recited by the liotar while the juice expressed from the soma plants was clarifying. The first sixty of these hymns are arranged strictly according to their length, ranging from ten down to four verses ; but as to the remaining hymns no such principle of arrangement is observable, except perhaps in smaller groups of hymns. One might, therefore, feel inclined to look upon that first section as the body of soma hymns set apart, at the time of the first redaction of the Samhita, for the special purpose of being used </w:t>
      </w:r>
      <w:r>
        <w:rPr>
          <w:rFonts w:ascii="Times New Roman" w:eastAsia="Times New Roman" w:hAnsi="Times New Roman" w:cs="Times New Roman"/>
          <w:i/>
          <w:iCs/>
          <w:color w:val="000000"/>
          <w:spacing w:val="0"/>
          <w:w w:val="100"/>
          <w:position w:val="0"/>
          <w:shd w:val="clear" w:color="auto" w:fill="auto"/>
          <w:lang w:val="en-US" w:eastAsia="en-US" w:bidi="en-US"/>
        </w:rPr>
        <w:t>as pavamdnyah,—</w:t>
      </w:r>
      <w:r>
        <w:rPr>
          <w:rFonts w:ascii="Times New Roman" w:eastAsia="Times New Roman" w:hAnsi="Times New Roman" w:cs="Times New Roman"/>
          <w:color w:val="000000"/>
          <w:spacing w:val="0"/>
          <w:w w:val="100"/>
          <w:position w:val="0"/>
          <w:shd w:val="clear" w:color="auto" w:fill="auto"/>
          <w:lang w:val="en-US" w:eastAsia="en-US" w:bidi="en-US"/>
        </w:rPr>
        <w:t>the remain- ing hymns having been added at subsequent redactions. It would not, however, by any means follow that all, or even any, of the latter hymns were actually later productions, as they might previously have formed part of the family collections, or might have been overlooked when the hymns were first collected. Other mandalas (viz., i., viii., and x.) still contain four entire hymns addressed to Soma, consisting together of 58 verses, of which only a single one (x. 25, 1) is found in the Samaveda-samliita, as also some 28 isolated verses to Soma, and four hymns addressed to Soma in conjunction with some other deity, which are entirely unrepresented in that collection.</w:t>
      </w:r>
    </w:p>
    <w:p>
      <w:pPr>
        <w:pStyle w:val="Style1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tenth mandala contains the same number of hymns (191) as the first, which it nearly equals in actual length. The hymns are ascribed to many rishis, of various families, some of whom appear already in the preceding mandalas. The traditional record is, however, less to be depended upon as regards this book, many names of gods and fictitious personages appearing in the list of its rishis. In the latter half of the book the hymns are clearly arranged according to the number of verses, in decreasing order,— occasional exceptions to this rale being easily adjusted by the removal of a few additional verses. A similar arrangement seems also to suggest itself in other portions of the book. This mandala stands somewhat apart from the preceding books, both its lan- guage and the general character of many of its hymns betraying a comparatively modern origin. In this respect it stands about on a level with the Atharvaveda-samliita, with which it is otherwise closely connected. Of some 1350 Rik-verses found in the Atharvan, about 550, or rather more than 40 per cent., occur in the tenth mandala. In the latter we meet with the same tendencies as in the Atharvan to metaphysical speculation and abstract conceptions of the deity on the one hand, and ,to superstitious practices on the other. But, although in its general appearance the tenth mandala is decidedly more modern than the other books, it contains not a few hymns which are little, if at all, inferior, both in respect of age and poetic quality, to the generality of Vedic hymns.</w:t>
      </w:r>
    </w:p>
    <w:p>
      <w:pPr>
        <w:pStyle w:val="Style1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become the custom, after Roth’s example, to call the Rik-samhita (as well as the Atharvan) an historical collection, as compared with the Samlritas put together for purely ritualistic pur</w:t>
        <w:softHyphen/>
        <w:t>poses. And indeed, though the several family collections which make up the earlier mandalas may originally have served ritual ends, as the hymnals of certain clans or tribal confederacies, and although the Saipliita itself, in its oldest form, may have been intended as a common prayer-book, so to speak, for the whole of the Brahmanical community, it is certain that in the stage in which it has been finally handed down it includes a certain portion of hymn material (and even some secular poetry) which could never have been used for purposes of religious service. It may, therefore, be assumed that the Rik-samhit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contains all of the nature of popu-</w:t>
      </w:r>
    </w:p>
    <w:p>
      <w:pPr>
        <w:pStyle w:val="Style13"/>
        <w:keepNext w:val="0"/>
        <w:keepLines w:val="0"/>
        <w:widowControl w:val="0"/>
        <w:shd w:val="clear" w:color="auto" w:fill="auto"/>
        <w:bidi w:val="0"/>
        <w:spacing w:line="230" w:lineRule="auto"/>
        <w:ind w:left="0" w:firstLine="0"/>
        <w:jc w:val="left"/>
        <w:rPr>
          <w:sz w:val="14"/>
          <w:szCs w:val="14"/>
        </w:rPr>
      </w:pPr>
      <w:r>
        <w:rPr>
          <w:rStyle w:val="CharStyle4"/>
          <w:sz w:val="14"/>
          <w:szCs w:val="14"/>
          <w:vertAlign w:val="superscript"/>
          <w:lang w:val="en-US" w:eastAsia="en-US" w:bidi="en-US"/>
        </w:rPr>
        <w:t>@@@1</w:t>
      </w:r>
      <w:r>
        <w:rPr>
          <w:rStyle w:val="CharStyle4"/>
          <w:sz w:val="14"/>
          <w:szCs w:val="14"/>
          <w:lang w:val="en-US" w:eastAsia="en-US" w:bidi="en-US"/>
        </w:rPr>
        <w:t xml:space="preserve"> The Rigveda has been edited, together with the commentary of </w:t>
      </w:r>
      <w:r>
        <w:rPr>
          <w:rStyle w:val="CharStyle4"/>
          <w:sz w:val="14"/>
          <w:szCs w:val="14"/>
          <w:lang w:val="de-DE" w:eastAsia="de-DE" w:bidi="de-DE"/>
        </w:rPr>
        <w:t xml:space="preserve">Säyana </w:t>
      </w:r>
      <w:r>
        <w:rPr>
          <w:rStyle w:val="CharStyle4"/>
          <w:sz w:val="14"/>
          <w:szCs w:val="14"/>
          <w:lang w:val="en-US" w:eastAsia="en-US" w:bidi="en-US"/>
        </w:rPr>
        <w:t>(of the 14th century), by Max M</w:t>
      </w:r>
      <w:r>
        <w:rPr>
          <w:rStyle w:val="CharStyle4"/>
          <w:sz w:val="14"/>
          <w:szCs w:val="14"/>
          <w:lang w:val="en-US" w:eastAsia="en-US" w:bidi="en-US"/>
        </w:rPr>
        <w:t>ü</w:t>
      </w:r>
      <w:r>
        <w:rPr>
          <w:rStyle w:val="CharStyle4"/>
          <w:sz w:val="14"/>
          <w:szCs w:val="14"/>
          <w:lang w:val="en-US" w:eastAsia="en-US" w:bidi="en-US"/>
        </w:rPr>
        <w:t xml:space="preserve">ller, 6 vols., London, 1849-74. The same scholar has published an edition of the hymns, both in the connected </w:t>
      </w:r>
      <w:r>
        <w:rPr>
          <w:rStyle w:val="CharStyle4"/>
          <w:i/>
          <w:iCs/>
          <w:sz w:val="15"/>
          <w:szCs w:val="15"/>
          <w:lang w:val="en-US" w:eastAsia="en-US" w:bidi="en-US"/>
        </w:rPr>
        <w:t>(samhit</w:t>
      </w:r>
      <w:r>
        <w:rPr>
          <w:rStyle w:val="CharStyle4"/>
          <w:i/>
          <w:iCs/>
          <w:sz w:val="15"/>
          <w:szCs w:val="15"/>
          <w:lang w:val="en-US" w:eastAsia="en-US" w:bidi="en-US"/>
        </w:rPr>
        <w:t>â</w:t>
      </w:r>
      <w:r>
        <w:rPr>
          <w:rStyle w:val="CharStyle4"/>
          <w:i/>
          <w:iCs/>
          <w:sz w:val="15"/>
          <w:szCs w:val="15"/>
          <w:lang w:val="en-US" w:eastAsia="en-US" w:bidi="en-US"/>
        </w:rPr>
        <w:t>)</w:t>
      </w:r>
      <w:r>
        <w:rPr>
          <w:rStyle w:val="CharStyle4"/>
          <w:sz w:val="14"/>
          <w:szCs w:val="14"/>
          <w:lang w:val="en-US" w:eastAsia="en-US" w:bidi="en-US"/>
        </w:rPr>
        <w:t xml:space="preserve"> and the disjoined </w:t>
      </w:r>
      <w:r>
        <w:rPr>
          <w:rStyle w:val="CharStyle4"/>
          <w:i/>
          <w:iCs/>
          <w:sz w:val="15"/>
          <w:szCs w:val="15"/>
          <w:lang w:val="en-US" w:eastAsia="en-US" w:bidi="en-US"/>
        </w:rPr>
        <w:t>(pada)</w:t>
      </w:r>
      <w:r>
        <w:rPr>
          <w:rStyle w:val="CharStyle4"/>
          <w:sz w:val="14"/>
          <w:szCs w:val="14"/>
          <w:lang w:val="en-US" w:eastAsia="en-US" w:bidi="en-US"/>
        </w:rPr>
        <w:t xml:space="preserve"> texts, 1873. An edition in Roman transliteration was published by </w:t>
      </w:r>
      <w:r>
        <w:rPr>
          <w:rStyle w:val="CharStyle4"/>
          <w:sz w:val="14"/>
          <w:szCs w:val="14"/>
          <w:lang w:val="de-DE" w:eastAsia="de-DE" w:bidi="de-DE"/>
        </w:rPr>
        <w:t xml:space="preserve">Th. Aufrecht, </w:t>
      </w:r>
      <w:r>
        <w:rPr>
          <w:rStyle w:val="CharStyle4"/>
          <w:sz w:val="14"/>
          <w:szCs w:val="14"/>
          <w:lang w:val="en-US" w:eastAsia="en-US" w:bidi="en-US"/>
        </w:rPr>
        <w:t xml:space="preserve">Berlin, 1861-3 (2d ed. 1877). Part of an English translation (chiefly based on </w:t>
      </w:r>
      <w:r>
        <w:rPr>
          <w:rStyle w:val="CharStyle4"/>
          <w:sz w:val="14"/>
          <w:szCs w:val="14"/>
          <w:lang w:val="de-DE" w:eastAsia="de-DE" w:bidi="de-DE"/>
        </w:rPr>
        <w:t xml:space="preserve">Säyana’s </w:t>
      </w:r>
      <w:r>
        <w:rPr>
          <w:rStyle w:val="CharStyle4"/>
          <w:sz w:val="14"/>
          <w:szCs w:val="14"/>
          <w:lang w:val="en-US" w:eastAsia="en-US" w:bidi="en-US"/>
        </w:rPr>
        <w:t xml:space="preserve">interpretation) was brought out by the late Prof. H. H. Wilson (vols. i.-iii., 1850-1857) and continued by Prof. E. B. Cowell (vol. iv., 1866, bringing up the work to mandala viii. hymn 20). We have also the first volume of a translation, with a running commentary, by M. </w:t>
      </w:r>
      <w:r>
        <w:rPr>
          <w:rStyle w:val="CharStyle4"/>
          <w:sz w:val="14"/>
          <w:szCs w:val="14"/>
          <w:lang w:val="de-DE" w:eastAsia="de-DE" w:bidi="de-DE"/>
        </w:rPr>
        <w:t xml:space="preserve">Müller, </w:t>
      </w:r>
      <w:r>
        <w:rPr>
          <w:rStyle w:val="CharStyle4"/>
          <w:sz w:val="14"/>
          <w:szCs w:val="14"/>
          <w:lang w:val="en-US" w:eastAsia="en-US" w:bidi="en-US"/>
        </w:rPr>
        <w:t xml:space="preserve">containing the hymns to the Maruts or storm-gods. Complete German translations have been published by H. </w:t>
      </w:r>
      <w:r>
        <w:rPr>
          <w:rStyle w:val="CharStyle4"/>
          <w:sz w:val="14"/>
          <w:szCs w:val="14"/>
          <w:lang w:val="de-DE" w:eastAsia="de-DE" w:bidi="de-DE"/>
        </w:rPr>
        <w:t xml:space="preserve">Grassmann </w:t>
      </w:r>
      <w:r>
        <w:rPr>
          <w:rStyle w:val="CharStyle4"/>
          <w:sz w:val="14"/>
          <w:szCs w:val="14"/>
          <w:lang w:val="en-US" w:eastAsia="en-US" w:bidi="en-US"/>
        </w:rPr>
        <w:t>(1876-7) and A. Ludwig (1876).</w:t>
      </w:r>
    </w:p>
    <w:sectPr>
      <w:footnotePr>
        <w:pos w:val="pageBottom"/>
        <w:numFmt w:val="decimal"/>
        <w:numRestart w:val="continuous"/>
      </w:footnotePr>
      <w:pgSz w:w="12240" w:h="16840"/>
      <w:pgMar w:top="1857" w:left="1486" w:right="1192" w:bottom="10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3"/>
      <w:szCs w:val="13"/>
      <w:u w:val="none"/>
      <w:lang w:val="1024"/>
    </w:rPr>
  </w:style>
  <w:style w:type="character" w:customStyle="1" w:styleId="CharStyle6">
    <w:name w:val="Body text_"/>
    <w:basedOn w:val="DefaultParagraphFont"/>
    <w:link w:val="Style5"/>
    <w:rPr>
      <w:b w:val="0"/>
      <w:bCs w:val="0"/>
      <w:i w:val="0"/>
      <w:iCs w:val="0"/>
      <w:smallCaps w:val="0"/>
      <w:strike w:val="0"/>
      <w:sz w:val="18"/>
      <w:szCs w:val="18"/>
      <w:u w:val="none"/>
    </w:rPr>
  </w:style>
  <w:style w:type="character" w:customStyle="1" w:styleId="CharStyle14">
    <w:name w:val="Body text (2)_"/>
    <w:basedOn w:val="DefaultParagraphFont"/>
    <w:link w:val="Style13"/>
    <w:rPr>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192" w:lineRule="auto"/>
      <w:ind w:firstLine="240"/>
      <w:jc w:val="both"/>
    </w:pPr>
    <w:rPr>
      <w:b w:val="0"/>
      <w:bCs w:val="0"/>
      <w:i w:val="0"/>
      <w:iCs w:val="0"/>
      <w:smallCaps w:val="0"/>
      <w:strike w:val="0"/>
      <w:sz w:val="13"/>
      <w:szCs w:val="13"/>
      <w:u w:val="none"/>
      <w:lang w:val="1024"/>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13">
    <w:name w:val="Body text (2)"/>
    <w:basedOn w:val="Normal"/>
    <w:link w:val="CharStyle1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