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Vam</w:t>
      </w:r>
      <w:r>
        <w:rPr>
          <w:rFonts w:ascii="Times New Roman" w:eastAsia="Times New Roman" w:hAnsi="Times New Roman" w:cs="Times New Roman"/>
          <w:i/>
          <w:iCs/>
          <w:color w:val="000000"/>
          <w:spacing w:val="0"/>
          <w:w w:val="100"/>
          <w:position w:val="0"/>
          <w:shd w:val="clear" w:color="auto" w:fill="auto"/>
          <w:lang w:val="en-US" w:eastAsia="en-US" w:bidi="en-US"/>
        </w:rPr>
        <w:t>śa</w:t>
      </w:r>
      <w:r>
        <w:rPr>
          <w:rFonts w:ascii="Times New Roman" w:eastAsia="Times New Roman" w:hAnsi="Times New Roman" w:cs="Times New Roman"/>
          <w:i/>
          <w:iCs/>
          <w:color w:val="000000"/>
          <w:spacing w:val="0"/>
          <w:w w:val="100"/>
          <w:position w:val="0"/>
          <w:shd w:val="clear" w:color="auto" w:fill="auto"/>
          <w:lang w:val="en-US" w:eastAsia="en-US" w:bidi="en-US"/>
        </w:rPr>
        <w:t>-br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a mere list of the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maveda teachers. To ' these works has to be added the </w:t>
      </w:r>
      <w:r>
        <w:rPr>
          <w:rFonts w:ascii="Times New Roman" w:eastAsia="Times New Roman" w:hAnsi="Times New Roman" w:cs="Times New Roman"/>
          <w:i/>
          <w:iCs/>
          <w:color w:val="000000"/>
          <w:spacing w:val="0"/>
          <w:w w:val="100"/>
          <w:position w:val="0"/>
          <w:shd w:val="clear" w:color="auto" w:fill="auto"/>
          <w:lang w:val="en-US" w:eastAsia="en-US" w:bidi="en-US"/>
        </w:rPr>
        <w:t>Jaimin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Talavak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 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discovered by the late Dr A. Burnell, but as yet only known by a few extracts. From Prof. Whitney’s account of it,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work stands much on a level with the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hmanas of the Rik and Yajurveda. A portion of it is the well-known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Kcna·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Talavak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 upanishad,</w:t>
      </w:r>
      <w:r>
        <w:rPr>
          <w:rFonts w:ascii="Times New Roman" w:eastAsia="Times New Roman" w:hAnsi="Times New Roman" w:cs="Times New Roman"/>
          <w:color w:val="000000"/>
          <w:spacing w:val="0"/>
          <w:w w:val="100"/>
          <w:position w:val="0"/>
          <w:shd w:val="clear" w:color="auto" w:fill="auto"/>
          <w:lang w:val="en-US" w:eastAsia="en-US" w:bidi="en-US"/>
        </w:rPr>
        <w:t xml:space="preserve"> on the nature of Brahman, as the supreme of deities.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maveda has thus its ample share of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hmana-literature, though in part of a somewhat questionable character, it is not  less richly supplied with siltra-treatises, some of which probably  belong to the oldest works of that class. There are three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tras, which attach themselves more or less closely to the Panchavim</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hmana:—Masaka’s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rsheya-kalpa,</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 the beginnings of the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mans in their sacrificial order, thus supplement</w:t>
        <w:softHyphen/>
        <w:t xml:space="preserve">ing the </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rsheya-brahmana, which enumerates their technical  names; and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of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 @@2</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yana, </w:t>
      </w:r>
      <w:r>
        <w:rPr>
          <w:rFonts w:ascii="Times New Roman" w:eastAsia="Times New Roman" w:hAnsi="Times New Roman" w:cs="Times New Roman"/>
          <w:color w:val="000000"/>
          <w:spacing w:val="0"/>
          <w:w w:val="100"/>
          <w:position w:val="0"/>
          <w:shd w:val="clear" w:color="auto" w:fill="auto"/>
          <w:lang w:val="en-US" w:eastAsia="en-US" w:bidi="en-US"/>
        </w:rPr>
        <w:t>of the Kauthuma and Raniiyaniya schools respectively, which differ but little from each other, and form complete manuals of the duties of the udgatars. Another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of an exegetic character,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Anupada-s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likewise follows the Panchavimsa, the difficult  passages of which it explains. Besides these, there are a con-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sideralde number of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and kindred technical treatises bearing on the prosody and phonetics of the sama-texts. The more important of them are—the </w:t>
      </w:r>
      <w:r>
        <w:rPr>
          <w:rFonts w:ascii="Times New Roman" w:eastAsia="Times New Roman" w:hAnsi="Times New Roman" w:cs="Times New Roman"/>
          <w:i/>
          <w:iCs/>
          <w:color w:val="000000"/>
          <w:spacing w:val="0"/>
          <w:w w:val="100"/>
          <w:position w:val="0"/>
          <w:shd w:val="clear" w:color="auto" w:fill="auto"/>
          <w:lang w:val="en-US" w:eastAsia="en-US" w:bidi="en-US"/>
        </w:rPr>
        <w:t>Biktantra,</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intended to serve as a Pratisakhya of the Samaveda ; the </w:t>
      </w:r>
      <w:r>
        <w:rPr>
          <w:rFonts w:ascii="Times New Roman" w:eastAsia="Times New Roman" w:hAnsi="Times New Roman" w:cs="Times New Roman"/>
          <w:i/>
          <w:iCs/>
          <w:color w:val="000000"/>
          <w:spacing w:val="0"/>
          <w:w w:val="100"/>
          <w:position w:val="0"/>
          <w:shd w:val="clear" w:color="auto" w:fill="auto"/>
          <w:lang w:val="en-US" w:eastAsia="en-US" w:bidi="en-US"/>
        </w:rPr>
        <w:t>Nid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on prosody ; the </w:t>
      </w:r>
      <w:r>
        <w:rPr>
          <w:rFonts w:ascii="Times New Roman" w:eastAsia="Times New Roman" w:hAnsi="Times New Roman" w:cs="Times New Roman"/>
          <w:i/>
          <w:iCs/>
          <w:color w:val="000000"/>
          <w:spacing w:val="0"/>
          <w:w w:val="100"/>
          <w:position w:val="0"/>
          <w:shd w:val="clear" w:color="auto" w:fill="auto"/>
          <w:lang w:val="en-US" w:eastAsia="en-US" w:bidi="en-US"/>
        </w:rPr>
        <w:t>Pushpa-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Phulla-s</w:t>
      </w:r>
      <w:r>
        <w:rPr>
          <w:rFonts w:ascii="Times New Roman" w:eastAsia="Times New Roman" w:hAnsi="Times New Roman" w:cs="Times New Roman"/>
          <w:i/>
          <w:iCs/>
          <w:color w:val="000000"/>
          <w:spacing w:val="0"/>
          <w:w w:val="100"/>
          <w:position w:val="0"/>
          <w:shd w:val="clear" w:color="auto" w:fill="auto"/>
          <w:lang w:val="en-US" w:eastAsia="en-US" w:bidi="en-US"/>
        </w:rPr>
        <w:t>ú</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ascribed either to Gobhila or to Vararuchi, and treating of the phonetic modi</w:t>
        <w:softHyphen/>
        <w:t xml:space="preserve">fications of the rich in the samans ; and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matantra,</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on chants, of a very technical nature. Further, two </w:t>
      </w:r>
      <w:r>
        <w:rPr>
          <w:rFonts w:ascii="Times New Roman" w:eastAsia="Times New Roman" w:hAnsi="Times New Roman" w:cs="Times New Roman"/>
          <w:i/>
          <w:iCs/>
          <w:color w:val="000000"/>
          <w:spacing w:val="0"/>
          <w:w w:val="100"/>
          <w:position w:val="0"/>
          <w:shd w:val="clear" w:color="auto" w:fill="auto"/>
          <w:lang w:val="en-US" w:eastAsia="en-US" w:bidi="en-US"/>
        </w:rPr>
        <w:t>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Samaveda, are hitherto known, viz., the </w:t>
      </w:r>
      <w:r>
        <w:rPr>
          <w:rFonts w:ascii="Times New Roman" w:eastAsia="Times New Roman" w:hAnsi="Times New Roman" w:cs="Times New Roman"/>
          <w:i/>
          <w:iCs/>
          <w:color w:val="000000"/>
          <w:spacing w:val="0"/>
          <w:w w:val="100"/>
          <w:position w:val="0"/>
          <w:shd w:val="clear" w:color="auto" w:fill="auto"/>
          <w:lang w:val="en-US" w:eastAsia="en-US" w:bidi="en-US"/>
        </w:rPr>
        <w:t>Dr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yana-grihya,</w:t>
      </w:r>
      <w:r>
        <w:rPr>
          <w:rFonts w:ascii="Times New Roman" w:eastAsia="Times New Roman" w:hAnsi="Times New Roman" w:cs="Times New Roman"/>
          <w:color w:val="000000"/>
          <w:spacing w:val="0"/>
          <w:w w:val="100"/>
          <w:position w:val="0"/>
          <w:shd w:val="clear" w:color="auto" w:fill="auto"/>
          <w:lang w:val="en-US" w:eastAsia="en-US" w:bidi="en-US"/>
        </w:rPr>
        <w:t xml:space="preserve"> ascribed to Kh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dira, and that of Gobhila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(who is also said to have composed a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with a supplement, entitled </w:t>
      </w:r>
      <w:r>
        <w:rPr>
          <w:rFonts w:ascii="Times New Roman" w:eastAsia="Times New Roman" w:hAnsi="Times New Roman" w:cs="Times New Roman"/>
          <w:i/>
          <w:iCs/>
          <w:color w:val="000000"/>
          <w:spacing w:val="0"/>
          <w:w w:val="100"/>
          <w:position w:val="0"/>
          <w:shd w:val="clear" w:color="auto" w:fill="auto"/>
          <w:lang w:val="en-US" w:eastAsia="en-US" w:bidi="en-US"/>
        </w:rPr>
        <w:t>Karmaprad</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by Katyayana. To the Samaveda seems further , to belong the </w:t>
      </w:r>
      <w:r>
        <w:rPr>
          <w:rFonts w:ascii="Times New Roman" w:eastAsia="Times New Roman" w:hAnsi="Times New Roman" w:cs="Times New Roman"/>
          <w:i/>
          <w:iCs/>
          <w:color w:val="000000"/>
          <w:spacing w:val="0"/>
          <w:w w:val="100"/>
          <w:position w:val="0"/>
          <w:shd w:val="clear" w:color="auto" w:fill="auto"/>
          <w:lang w:val="en-US" w:eastAsia="en-US" w:bidi="en-US"/>
        </w:rPr>
        <w:t>Gautama-dharma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composed in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tras, and apparently the oldest existing compendium of Hindu law.</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Yajur-veda.—</w:t>
      </w:r>
      <w:r>
        <w:rPr>
          <w:rFonts w:ascii="Times New Roman" w:eastAsia="Times New Roman" w:hAnsi="Times New Roman" w:cs="Times New Roman"/>
          <w:color w:val="000000"/>
          <w:spacing w:val="0"/>
          <w:w w:val="100"/>
          <w:position w:val="0"/>
          <w:shd w:val="clear" w:color="auto" w:fill="auto"/>
          <w:lang w:val="en-US" w:eastAsia="en-US" w:bidi="en-US"/>
        </w:rPr>
        <w:t xml:space="preserve">This, the sacrificial Veda of the Adhvaryu  priests, divides itself into an older and a younger branch, or, as they are usually called, the Black </w:t>
      </w:r>
      <w:r>
        <w:rPr>
          <w:rFonts w:ascii="Times New Roman" w:eastAsia="Times New Roman" w:hAnsi="Times New Roman" w:cs="Times New Roman"/>
          <w:i/>
          <w:iCs/>
          <w:color w:val="000000"/>
          <w:spacing w:val="0"/>
          <w:w w:val="100"/>
          <w:position w:val="0"/>
          <w:shd w:val="clear" w:color="auto" w:fill="auto"/>
          <w:lang w:val="en-US" w:eastAsia="en-US" w:bidi="en-US"/>
        </w:rPr>
        <w:t>(krishna)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White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 xml:space="preserve">ukla) </w:t>
      </w:r>
      <w:r>
        <w:rPr>
          <w:rFonts w:ascii="Times New Roman" w:eastAsia="Times New Roman" w:hAnsi="Times New Roman" w:cs="Times New Roman"/>
          <w:color w:val="000000"/>
          <w:spacing w:val="0"/>
          <w:w w:val="100"/>
          <w:position w:val="0"/>
          <w:shd w:val="clear" w:color="auto" w:fill="auto"/>
          <w:lang w:val="en-US" w:eastAsia="en-US" w:bidi="en-US"/>
        </w:rPr>
        <w:t>Yajurveda. Tradition ascribes the foundation of the Yajurveda to the sage Vai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amp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vana. Of his disciples three are specially named, viz., Katha, Kalapin, and Yaska Paingi, the last of whom again is stated to have communicated the sacrificial science to Tittiri.</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 far this genealogy of teachers may be authentic cannot now  be determined ; but certain it is that in accordance therewith we have three old collections of Yajus-texts, viz.,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thaka,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paka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Maitr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Taittir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The Kathaka and K</w:t>
      </w:r>
      <w:r>
        <w:rPr>
          <w:rFonts w:ascii="Times New Roman" w:eastAsia="Times New Roman" w:hAnsi="Times New Roman" w:cs="Times New Roman"/>
          <w:color w:val="000000"/>
          <w:spacing w:val="0"/>
          <w:w w:val="100"/>
          <w:position w:val="0"/>
          <w:shd w:val="clear" w:color="auto" w:fill="auto"/>
          <w:lang w:val="en-US" w:eastAsia="en-US" w:bidi="en-US"/>
        </w:rPr>
        <w:t>âl</w:t>
      </w:r>
      <w:r>
        <w:rPr>
          <w:rFonts w:ascii="Times New Roman" w:eastAsia="Times New Roman" w:hAnsi="Times New Roman" w:cs="Times New Roman"/>
          <w:color w:val="000000"/>
          <w:spacing w:val="0"/>
          <w:w w:val="100"/>
          <w:position w:val="0"/>
          <w:shd w:val="clear" w:color="auto" w:fill="auto"/>
          <w:lang w:val="en-US" w:eastAsia="en-US" w:bidi="en-US"/>
        </w:rPr>
        <w:t>apaka are frequently mentioned together ; and the author of the “ great commentary ” on Panini once remarks that these works were taught in every village. The Kathas and K</w:t>
      </w:r>
      <w:r>
        <w:rPr>
          <w:rFonts w:ascii="Times New Roman" w:eastAsia="Times New Roman" w:hAnsi="Times New Roman" w:cs="Times New Roman"/>
          <w:color w:val="000000"/>
          <w:spacing w:val="0"/>
          <w:w w:val="100"/>
          <w:position w:val="0"/>
          <w:shd w:val="clear" w:color="auto" w:fill="auto"/>
          <w:lang w:val="en-US" w:eastAsia="en-US" w:bidi="en-US"/>
        </w:rPr>
        <w:t>âl</w:t>
      </w:r>
      <w:r>
        <w:rPr>
          <w:rFonts w:ascii="Times New Roman" w:eastAsia="Times New Roman" w:hAnsi="Times New Roman" w:cs="Times New Roman"/>
          <w:color w:val="000000"/>
          <w:spacing w:val="0"/>
          <w:w w:val="100"/>
          <w:position w:val="0"/>
          <w:shd w:val="clear" w:color="auto" w:fill="auto"/>
          <w:lang w:val="en-US" w:eastAsia="en-US" w:bidi="en-US"/>
        </w:rPr>
        <w:t>apas are often referred to under the collective name of Charakas, which apparently means “wayfarers” or itinerant scholars; but according to a later writer (Hemachandra) Charaka is no other than Vai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imp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yana himself, after whom his followers would have been thus called. From the Kathas proper two schools seem early to have branched off, the 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chya- (eastern) and Kapishthala- Kathas, the text-recension of the latter of whom lias recently been discovered in the </w:t>
      </w:r>
      <w:r>
        <w:rPr>
          <w:rFonts w:ascii="Times New Roman" w:eastAsia="Times New Roman" w:hAnsi="Times New Roman" w:cs="Times New Roman"/>
          <w:i/>
          <w:iCs/>
          <w:color w:val="000000"/>
          <w:spacing w:val="0"/>
          <w:w w:val="100"/>
          <w:position w:val="0"/>
          <w:shd w:val="clear" w:color="auto" w:fill="auto"/>
          <w:lang w:val="en-US" w:eastAsia="en-US" w:bidi="en-US"/>
        </w:rPr>
        <w:t>Kapishthala-katha-samhit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Kalapas also soon became subdivided into numerous different schools. Thus from one of Kalapin’s immediate disciples, Haridru, the Haridraviyas took their origin, whose text-recension, the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ri- dravika,</w:t>
      </w:r>
      <w:r>
        <w:rPr>
          <w:rFonts w:ascii="Times New Roman" w:eastAsia="Times New Roman" w:hAnsi="Times New Roman" w:cs="Times New Roman"/>
          <w:color w:val="000000"/>
          <w:spacing w:val="0"/>
          <w:w w:val="100"/>
          <w:position w:val="0"/>
          <w:shd w:val="clear" w:color="auto" w:fill="auto"/>
          <w:lang w:val="en-US" w:eastAsia="en-US" w:bidi="en-US"/>
        </w:rPr>
        <w:t xml:space="preserve"> is quoted together with the Kathaka as early as in Yaska’s Nirukta ; but we do not know whether it differed much from the original Kalapa texts. As regards the Taittiriya-saiphita, that collection, too, in course of time gave rise to a number of different schools, the text handed down being that of the Apastambas; while the contents of another recension, that of the Atrcyas, are known from their Anukramani, which has been preserved.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four collections of old Yajus texts, so far known to us, while differing more or less considerably in arrangement and verbal points, have the main mass of their textual matter in common. This common matter consists of both sacrificial prayers (yajus) in verse and prose and exegetic or illustrative prose portions (brah</w:t>
        <w:softHyphen/>
        <w:t>mana). A prominent feature of the old Yajus texts, as compared with the other Vedas, is the constant intermixture of textual and exegetic portions. The Charakas and Taittiriyas thus do not recognize the distinction between Samhita and Brahmana in the sense of two separate collections of texts, but they have only a 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or collection, which includes likewise the exegetic or</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Brahmana portions. The Taittiriyas seem at last to have been impressed with their want of a separate Brahmana and to have set about supplying the deficiency in rather an awkward fashion : instead of separating from each other the textual and exegetic portions of their </w:t>
      </w:r>
      <w:r>
        <w:rPr>
          <w:rFonts w:ascii="Times New Roman" w:eastAsia="Times New Roman" w:hAnsi="Times New Roman" w:cs="Times New Roman"/>
          <w:color w:val="000000"/>
          <w:spacing w:val="0"/>
          <w:w w:val="100"/>
          <w:position w:val="0"/>
          <w:shd w:val="clear" w:color="auto" w:fill="auto"/>
          <w:lang w:val="de-DE" w:eastAsia="de-DE" w:bidi="de-DE"/>
        </w:rPr>
        <w:t xml:space="preserve">Samhitä, </w:t>
      </w:r>
      <w:r>
        <w:rPr>
          <w:rFonts w:ascii="Times New Roman" w:eastAsia="Times New Roman" w:hAnsi="Times New Roman" w:cs="Times New Roman"/>
          <w:color w:val="000000"/>
          <w:spacing w:val="0"/>
          <w:w w:val="100"/>
          <w:position w:val="0"/>
          <w:shd w:val="clear" w:color="auto" w:fill="auto"/>
          <w:lang w:val="en-US" w:eastAsia="en-US" w:bidi="en-US"/>
        </w:rPr>
        <w:t>they merely added to the latter a supplement (in three books), which shows the same mixed con</w:t>
        <w:softHyphen/>
        <w:t xml:space="preserve">dition, and applied to it the title of </w:t>
      </w:r>
      <w:r>
        <w:rPr>
          <w:rFonts w:ascii="Times New Roman" w:eastAsia="Times New Roman" w:hAnsi="Times New Roman" w:cs="Times New Roman"/>
          <w:i/>
          <w:iCs/>
          <w:color w:val="000000"/>
          <w:spacing w:val="0"/>
          <w:w w:val="100"/>
          <w:position w:val="0"/>
          <w:shd w:val="clear" w:color="auto" w:fill="auto"/>
          <w:lang w:val="en-US" w:eastAsia="en-US" w:bidi="en-US"/>
        </w:rPr>
        <w:t>Taittirlya-br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hmanaa. @@8</w:t>
      </w:r>
      <w:r>
        <w:rPr>
          <w:rFonts w:ascii="Times New Roman" w:eastAsia="Times New Roman" w:hAnsi="Times New Roman" w:cs="Times New Roman"/>
          <w:color w:val="000000"/>
          <w:spacing w:val="0"/>
          <w:w w:val="100"/>
          <w:position w:val="0"/>
          <w:shd w:val="clear" w:color="auto" w:fill="auto"/>
          <w:lang w:val="en-US" w:eastAsia="en-US" w:bidi="en-US"/>
        </w:rPr>
        <w:t xml:space="preserve"> But, though the main body of this work is manifestly of a supple</w:t>
        <w:softHyphen/>
        <w:t xml:space="preserve">mentary nature, a portion of it may perhaps be old, and may once have formed part of the Samhita, considering that the latter con-, sists of seven ashtakas, instead of eight, as this term requires, and that certain essential parts of the ceremonial handled in the Brahmana are entirely wanting in the </w:t>
      </w:r>
      <w:r>
        <w:rPr>
          <w:rFonts w:ascii="Times New Roman" w:eastAsia="Times New Roman" w:hAnsi="Times New Roman" w:cs="Times New Roman"/>
          <w:color w:val="000000"/>
          <w:spacing w:val="0"/>
          <w:w w:val="100"/>
          <w:position w:val="0"/>
          <w:shd w:val="clear" w:color="auto" w:fill="auto"/>
          <w:lang w:val="de-DE" w:eastAsia="de-DE" w:bidi="de-DE"/>
        </w:rPr>
        <w:t xml:space="preserve">Saiphitä. </w:t>
      </w:r>
      <w:r>
        <w:rPr>
          <w:rFonts w:ascii="Times New Roman" w:eastAsia="Times New Roman" w:hAnsi="Times New Roman" w:cs="Times New Roman"/>
          <w:color w:val="000000"/>
          <w:spacing w:val="0"/>
          <w:w w:val="100"/>
          <w:position w:val="0"/>
          <w:shd w:val="clear" w:color="auto" w:fill="auto"/>
          <w:lang w:val="en-US" w:eastAsia="en-US" w:bidi="en-US"/>
        </w:rPr>
        <w:t xml:space="preserve">Attached to this work is the </w:t>
      </w:r>
      <w:r>
        <w:rPr>
          <w:rFonts w:ascii="Times New Roman" w:eastAsia="Times New Roman" w:hAnsi="Times New Roman" w:cs="Times New Roman"/>
          <w:i/>
          <w:iCs/>
          <w:color w:val="000000"/>
          <w:spacing w:val="0"/>
          <w:w w:val="100"/>
          <w:position w:val="0"/>
          <w:shd w:val="clear" w:color="auto" w:fill="auto"/>
          <w:lang w:val="en-US" w:eastAsia="en-US" w:bidi="en-US"/>
        </w:rPr>
        <w:t>Taittirtya-</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ranyaka,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ten books, the first six of which are of a ritualistic nature, while of the remaining books the first three (7-9) form the </w:t>
      </w:r>
      <w:r>
        <w:rPr>
          <w:rFonts w:ascii="Times New Roman" w:eastAsia="Times New Roman" w:hAnsi="Times New Roman" w:cs="Times New Roman"/>
          <w:i/>
          <w:iCs/>
          <w:color w:val="000000"/>
          <w:spacing w:val="0"/>
          <w:w w:val="100"/>
          <w:position w:val="0"/>
          <w:shd w:val="clear" w:color="auto" w:fill="auto"/>
          <w:lang w:val="en-US" w:eastAsia="en-US" w:bidi="en-US"/>
        </w:rPr>
        <w:t>Taittir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ya-panishad</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three parts, viz., the Sikshavalli or Samhitopanishad, and the Anandavalli and Bhriguvalli, also called together the Varuni- upanishad), and the last book forms the </w:t>
      </w:r>
      <w:r>
        <w:rPr>
          <w:rFonts w:ascii="Times New Roman" w:eastAsia="Times New Roman" w:hAnsi="Times New Roman" w:cs="Times New Roman"/>
          <w:color w:val="000000"/>
          <w:spacing w:val="0"/>
          <w:w w:val="100"/>
          <w:position w:val="0"/>
          <w:shd w:val="clear" w:color="auto" w:fill="auto"/>
          <w:lang w:val="de-DE" w:eastAsia="de-DE" w:bidi="de-DE"/>
        </w:rPr>
        <w:t xml:space="preserve">Närayaniya-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de-DE" w:eastAsia="de-DE" w:bidi="de-DE"/>
        </w:rPr>
        <w:t xml:space="preserve">Yäjßiki-) </w:t>
      </w:r>
      <w:r>
        <w:rPr>
          <w:rFonts w:ascii="Times New Roman" w:eastAsia="Times New Roman" w:hAnsi="Times New Roman" w:cs="Times New Roman"/>
          <w:color w:val="000000"/>
          <w:spacing w:val="0"/>
          <w:w w:val="100"/>
          <w:position w:val="0"/>
          <w:shd w:val="clear" w:color="auto" w:fill="auto"/>
          <w:lang w:val="en-US" w:eastAsia="en-US" w:bidi="en-US"/>
        </w:rPr>
        <w:t>upanishad.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MaitrAyant 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identity of which with the original </w:t>
      </w:r>
      <w:r>
        <w:rPr>
          <w:rFonts w:ascii="Times New Roman" w:eastAsia="Times New Roman" w:hAnsi="Times New Roman" w:cs="Times New Roman"/>
          <w:color w:val="000000"/>
          <w:spacing w:val="0"/>
          <w:w w:val="100"/>
          <w:position w:val="0"/>
          <w:shd w:val="clear" w:color="auto" w:fill="auto"/>
          <w:lang w:val="de-DE" w:eastAsia="de-DE" w:bidi="de-DE"/>
        </w:rPr>
        <w:t xml:space="preserve">Kaläpaka </w:t>
      </w:r>
      <w:r>
        <w:rPr>
          <w:rFonts w:ascii="Times New Roman" w:eastAsia="Times New Roman" w:hAnsi="Times New Roman" w:cs="Times New Roman"/>
          <w:color w:val="000000"/>
          <w:spacing w:val="0"/>
          <w:w w:val="100"/>
          <w:position w:val="0"/>
          <w:shd w:val="clear" w:color="auto" w:fill="auto"/>
          <w:lang w:val="en-US" w:eastAsia="en-US" w:bidi="en-US"/>
        </w:rPr>
        <w:t xml:space="preserve">has been proved pretty conclusively by Dr L. V. </w:t>
      </w:r>
      <w:r>
        <w:rPr>
          <w:rFonts w:ascii="Times New Roman" w:eastAsia="Times New Roman" w:hAnsi="Times New Roman" w:cs="Times New Roman"/>
          <w:color w:val="000000"/>
          <w:spacing w:val="0"/>
          <w:w w:val="100"/>
          <w:position w:val="0"/>
          <w:shd w:val="clear" w:color="auto" w:fill="auto"/>
          <w:lang w:val="de-DE" w:eastAsia="de-DE" w:bidi="de-DE"/>
        </w:rPr>
        <w:t xml:space="preserve">Schröder, </w:t>
      </w:r>
      <w:r>
        <w:rPr>
          <w:rFonts w:ascii="Times New Roman" w:eastAsia="Times New Roman" w:hAnsi="Times New Roman" w:cs="Times New Roman"/>
          <w:color w:val="000000"/>
          <w:spacing w:val="0"/>
          <w:w w:val="100"/>
          <w:position w:val="0"/>
          <w:shd w:val="clear" w:color="auto" w:fill="auto"/>
          <w:lang w:val="en-US" w:eastAsia="en-US" w:bidi="en-US"/>
        </w:rPr>
        <w:t xml:space="preserve">who attributes the change of name of the </w:t>
      </w:r>
      <w:r>
        <w:rPr>
          <w:rFonts w:ascii="Times New Roman" w:eastAsia="Times New Roman" w:hAnsi="Times New Roman" w:cs="Times New Roman"/>
          <w:color w:val="000000"/>
          <w:spacing w:val="0"/>
          <w:w w:val="100"/>
          <w:position w:val="0"/>
          <w:shd w:val="clear" w:color="auto" w:fill="auto"/>
          <w:lang w:val="de-DE" w:eastAsia="de-DE" w:bidi="de-DE"/>
        </w:rPr>
        <w:t>Käläpa- Maiträyan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de-DE" w:eastAsia="de-DE" w:bidi="de-DE"/>
        </w:rPr>
        <w:t xml:space="preserve">yas </w:t>
      </w:r>
      <w:r>
        <w:rPr>
          <w:rFonts w:ascii="Times New Roman" w:eastAsia="Times New Roman" w:hAnsi="Times New Roman" w:cs="Times New Roman"/>
          <w:color w:val="000000"/>
          <w:spacing w:val="0"/>
          <w:w w:val="100"/>
          <w:position w:val="0"/>
          <w:shd w:val="clear" w:color="auto" w:fill="auto"/>
          <w:lang w:val="en-US" w:eastAsia="en-US" w:bidi="en-US"/>
        </w:rPr>
        <w:t xml:space="preserve">to Buddhist influences, consists of four books, attached to which is the </w:t>
      </w:r>
      <w:r>
        <w:rPr>
          <w:rFonts w:ascii="Times New Roman" w:eastAsia="Times New Roman" w:hAnsi="Times New Roman" w:cs="Times New Roman"/>
          <w:i/>
          <w:iCs/>
          <w:color w:val="000000"/>
          <w:spacing w:val="0"/>
          <w:w w:val="100"/>
          <w:position w:val="0"/>
          <w:shd w:val="clear" w:color="auto" w:fill="auto"/>
          <w:lang w:val="en-US" w:eastAsia="en-US" w:bidi="en-US"/>
        </w:rPr>
        <w:t>Maitri-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Maitr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 upanishad.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KAthaka,</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consists of five parts, the last two of which, however, are perhaps later additions, containing merely the prayers of the hotar priest, and those used at the horse-sacrifice. There is, moreover, the beautiful </w:t>
      </w:r>
      <w:r>
        <w:rPr>
          <w:rFonts w:ascii="Times New Roman" w:eastAsia="Times New Roman" w:hAnsi="Times New Roman" w:cs="Times New Roman"/>
          <w:i/>
          <w:iCs/>
          <w:color w:val="000000"/>
          <w:spacing w:val="0"/>
          <w:w w:val="100"/>
          <w:position w:val="0"/>
          <w:shd w:val="clear" w:color="auto" w:fill="auto"/>
          <w:lang w:val="en-US" w:eastAsia="en-US" w:bidi="en-US"/>
        </w:rPr>
        <w:t>Katha- or KAthaka-upanishad,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also ascribed to the Atharvaveda, and in which Dr </w:t>
      </w:r>
      <w:r>
        <w:rPr>
          <w:rFonts w:ascii="Times New Roman" w:eastAsia="Times New Roman" w:hAnsi="Times New Roman" w:cs="Times New Roman"/>
          <w:color w:val="000000"/>
          <w:spacing w:val="0"/>
          <w:w w:val="100"/>
          <w:position w:val="0"/>
          <w:shd w:val="clear" w:color="auto" w:fill="auto"/>
          <w:lang w:val="de-DE" w:eastAsia="de-DE" w:bidi="de-DE"/>
        </w:rPr>
        <w:t xml:space="preserve">Röer </w:t>
      </w:r>
      <w:r>
        <w:rPr>
          <w:rFonts w:ascii="Times New Roman" w:eastAsia="Times New Roman" w:hAnsi="Times New Roman" w:cs="Times New Roman"/>
          <w:color w:val="000000"/>
          <w:spacing w:val="0"/>
          <w:w w:val="100"/>
          <w:position w:val="0"/>
          <w:shd w:val="clear" w:color="auto" w:fill="auto"/>
          <w:lang w:val="en-US" w:eastAsia="en-US" w:bidi="en-US"/>
        </w:rPr>
        <w:t xml:space="preserve">would detect allusions to the </w:t>
      </w:r>
      <w:r>
        <w:rPr>
          <w:rFonts w:ascii="Times New Roman" w:eastAsia="Times New Roman" w:hAnsi="Times New Roman" w:cs="Times New Roman"/>
          <w:color w:val="000000"/>
          <w:spacing w:val="0"/>
          <w:w w:val="100"/>
          <w:position w:val="0"/>
          <w:shd w:val="clear" w:color="auto" w:fill="auto"/>
          <w:lang w:val="de-DE" w:eastAsia="de-DE" w:bidi="de-DE"/>
        </w:rPr>
        <w:t xml:space="preserve">Sänkhya </w:t>
      </w:r>
      <w:r>
        <w:rPr>
          <w:rFonts w:ascii="Times New Roman" w:eastAsia="Times New Roman" w:hAnsi="Times New Roman" w:cs="Times New Roman"/>
          <w:color w:val="000000"/>
          <w:spacing w:val="0"/>
          <w:w w:val="100"/>
          <w:position w:val="0"/>
          <w:shd w:val="clear" w:color="auto" w:fill="auto"/>
          <w:lang w:val="en-US" w:eastAsia="en-US" w:bidi="en-US"/>
        </w:rPr>
        <w:t>philosophy, and even to Buddhist doctrines.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defective arrangement of the Yajus texts was at last remedied by a different school of Adhvaryus, the </w:t>
      </w:r>
      <w:r>
        <w:rPr>
          <w:rFonts w:ascii="Times New Roman" w:eastAsia="Times New Roman" w:hAnsi="Times New Roman" w:cs="Times New Roman"/>
          <w:color w:val="000000"/>
          <w:spacing w:val="0"/>
          <w:w w:val="100"/>
          <w:position w:val="0"/>
          <w:shd w:val="clear" w:color="auto" w:fill="auto"/>
          <w:lang w:val="de-DE" w:eastAsia="de-DE" w:bidi="de-DE"/>
        </w:rPr>
        <w:t xml:space="preserve">Väjasaneyins. </w:t>
      </w:r>
      <w:r>
        <w:rPr>
          <w:rFonts w:ascii="Times New Roman" w:eastAsia="Times New Roman" w:hAnsi="Times New Roman" w:cs="Times New Roman"/>
          <w:color w:val="000000"/>
          <w:spacing w:val="0"/>
          <w:w w:val="100"/>
          <w:position w:val="0"/>
          <w:shd w:val="clear" w:color="auto" w:fill="auto"/>
          <w:lang w:val="en-US" w:eastAsia="en-US" w:bidi="en-US"/>
        </w:rPr>
        <w:t xml:space="preserve">The reputed originator of this school and its text-recension is </w:t>
      </w:r>
      <w:r>
        <w:rPr>
          <w:rFonts w:ascii="Times New Roman" w:eastAsia="Times New Roman" w:hAnsi="Times New Roman" w:cs="Times New Roman"/>
          <w:color w:val="000000"/>
          <w:spacing w:val="0"/>
          <w:w w:val="100"/>
          <w:position w:val="0"/>
          <w:shd w:val="clear" w:color="auto" w:fill="auto"/>
          <w:lang w:val="de-DE" w:eastAsia="de-DE" w:bidi="de-DE"/>
        </w:rPr>
        <w:t>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jnavalkya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jasaneya </w:t>
      </w:r>
      <w:r>
        <w:rPr>
          <w:rFonts w:ascii="Times New Roman" w:eastAsia="Times New Roman" w:hAnsi="Times New Roman" w:cs="Times New Roman"/>
          <w:color w:val="000000"/>
          <w:spacing w:val="0"/>
          <w:w w:val="100"/>
          <w:position w:val="0"/>
          <w:shd w:val="clear" w:color="auto" w:fill="auto"/>
          <w:lang w:val="en-US" w:eastAsia="en-US" w:bidi="en-US"/>
        </w:rPr>
        <w:t xml:space="preserve">(son of </w:t>
      </w:r>
      <w:r>
        <w:rPr>
          <w:rFonts w:ascii="Times New Roman" w:eastAsia="Times New Roman" w:hAnsi="Times New Roman" w:cs="Times New Roman"/>
          <w:color w:val="000000"/>
          <w:spacing w:val="0"/>
          <w:w w:val="100"/>
          <w:position w:val="0"/>
          <w:shd w:val="clear" w:color="auto" w:fill="auto"/>
          <w:lang w:val="de-DE" w:eastAsia="de-DE" w:bidi="de-DE"/>
        </w:rPr>
        <w:t xml:space="preserve">Väjasani). </w:t>
      </w:r>
      <w:r>
        <w:rPr>
          <w:rFonts w:ascii="Times New Roman" w:eastAsia="Times New Roman" w:hAnsi="Times New Roman" w:cs="Times New Roman"/>
          <w:color w:val="000000"/>
          <w:spacing w:val="0"/>
          <w:w w:val="100"/>
          <w:position w:val="0"/>
          <w:shd w:val="clear" w:color="auto" w:fill="auto"/>
          <w:lang w:val="en-US" w:eastAsia="en-US" w:bidi="en-US"/>
        </w:rPr>
        <w:t xml:space="preserve">The result of the re- arrangement of the texts was a collection of sacrificial mantras,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jasaneyi-samhit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hmana,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atapatha.</w:t>
      </w:r>
      <w:r>
        <w:rPr>
          <w:rFonts w:ascii="Times New Roman" w:eastAsia="Times New Roman" w:hAnsi="Times New Roman" w:cs="Times New Roman"/>
          <w:color w:val="000000"/>
          <w:spacing w:val="0"/>
          <w:w w:val="100"/>
          <w:position w:val="0"/>
          <w:shd w:val="clear" w:color="auto" w:fill="auto"/>
          <w:lang w:val="en-US" w:eastAsia="en-US" w:bidi="en-US"/>
        </w:rPr>
        <w:t xml:space="preserve"> 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account of the greater lucidity of this arrangement, the </w:t>
      </w:r>
      <w:r>
        <w:rPr>
          <w:rFonts w:ascii="Times New Roman" w:eastAsia="Times New Roman" w:hAnsi="Times New Roman" w:cs="Times New Roman"/>
          <w:color w:val="000000"/>
          <w:spacing w:val="0"/>
          <w:w w:val="100"/>
          <w:position w:val="0"/>
          <w:shd w:val="clear" w:color="auto" w:fill="auto"/>
          <w:lang w:val="de-DE" w:eastAsia="de-DE" w:bidi="de-DE"/>
        </w:rPr>
        <w:t xml:space="preserve">Väjasaneyins </w:t>
      </w:r>
      <w:r>
        <w:rPr>
          <w:rFonts w:ascii="Times New Roman" w:eastAsia="Times New Roman" w:hAnsi="Times New Roman" w:cs="Times New Roman"/>
          <w:color w:val="000000"/>
          <w:spacing w:val="0"/>
          <w:w w:val="100"/>
          <w:position w:val="0"/>
          <w:shd w:val="clear" w:color="auto" w:fill="auto"/>
          <w:lang w:val="en-US" w:eastAsia="en-US" w:bidi="en-US"/>
        </w:rPr>
        <w:t xml:space="preserve">called their texts the White (or clear) Yajurveda,—the name of Black (or obscure) Yajus being for opposite reasons applied to the Charaka texts. Both the Samhita and Brahmana of the </w:t>
      </w:r>
      <w:r>
        <w:rPr>
          <w:rFonts w:ascii="Times New Roman" w:eastAsia="Times New Roman" w:hAnsi="Times New Roman" w:cs="Times New Roman"/>
          <w:color w:val="000000"/>
          <w:spacing w:val="0"/>
          <w:w w:val="100"/>
          <w:position w:val="0"/>
          <w:shd w:val="clear" w:color="auto" w:fill="auto"/>
          <w:lang w:val="de-DE" w:eastAsia="de-DE" w:bidi="de-DE"/>
        </w:rPr>
        <w:t xml:space="preserve">Väjasaneyins </w:t>
      </w:r>
      <w:r>
        <w:rPr>
          <w:rFonts w:ascii="Times New Roman" w:eastAsia="Times New Roman" w:hAnsi="Times New Roman" w:cs="Times New Roman"/>
          <w:color w:val="000000"/>
          <w:spacing w:val="0"/>
          <w:w w:val="100"/>
          <w:position w:val="0"/>
          <w:shd w:val="clear" w:color="auto" w:fill="auto"/>
          <w:lang w:val="en-US" w:eastAsia="en-US" w:bidi="en-US"/>
        </w:rPr>
        <w:t xml:space="preserve">have come down to us in two different recensions, viz., those of the </w:t>
      </w:r>
      <w:r>
        <w:rPr>
          <w:rFonts w:ascii="Times New Roman" w:eastAsia="Times New Roman" w:hAnsi="Times New Roman" w:cs="Times New Roman"/>
          <w:i/>
          <w:iCs/>
          <w:color w:val="000000"/>
          <w:spacing w:val="0"/>
          <w:w w:val="100"/>
          <w:position w:val="0"/>
          <w:shd w:val="clear" w:color="auto" w:fill="auto"/>
          <w:lang w:val="en-US" w:eastAsia="en-US" w:bidi="en-US"/>
        </w:rPr>
        <w:t>MAdhyandina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KAnva</w:t>
      </w:r>
      <w:r>
        <w:rPr>
          <w:rFonts w:ascii="Times New Roman" w:eastAsia="Times New Roman" w:hAnsi="Times New Roman" w:cs="Times New Roman"/>
          <w:color w:val="000000"/>
          <w:spacing w:val="0"/>
          <w:w w:val="100"/>
          <w:position w:val="0"/>
          <w:shd w:val="clear" w:color="auto" w:fill="auto"/>
          <w:lang w:val="en-US" w:eastAsia="en-US" w:bidi="en-US"/>
        </w:rPr>
        <w:t xml:space="preserve"> schools ; and we find besides a consider</w:t>
        <w:softHyphen/>
        <w:t xml:space="preserve">able number of quotations from a </w:t>
      </w:r>
      <w:r>
        <w:rPr>
          <w:rFonts w:ascii="Times New Roman" w:eastAsia="Times New Roman" w:hAnsi="Times New Roman" w:cs="Times New Roman"/>
          <w:color w:val="000000"/>
          <w:spacing w:val="0"/>
          <w:w w:val="100"/>
          <w:position w:val="0"/>
          <w:shd w:val="clear" w:color="auto" w:fill="auto"/>
          <w:lang w:val="de-DE" w:eastAsia="de-DE" w:bidi="de-DE"/>
        </w:rPr>
        <w:t xml:space="preserve">Väjasaneyaka,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we cannot doubt that there must have been at least one other recension of the </w:t>
      </w:r>
      <w:r>
        <w:rPr>
          <w:rFonts w:ascii="Times New Roman" w:eastAsia="Times New Roman" w:hAnsi="Times New Roman" w:cs="Times New Roman"/>
          <w:color w:val="000000"/>
          <w:spacing w:val="0"/>
          <w:w w:val="100"/>
          <w:position w:val="0"/>
          <w:shd w:val="clear" w:color="auto" w:fill="auto"/>
          <w:lang w:val="de-DE" w:eastAsia="de-DE" w:bidi="de-DE"/>
        </w:rPr>
        <w:t>Satapatha-br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hmana. </w:t>
      </w:r>
      <w:r>
        <w:rPr>
          <w:rFonts w:ascii="Times New Roman" w:eastAsia="Times New Roman" w:hAnsi="Times New Roman" w:cs="Times New Roman"/>
          <w:color w:val="000000"/>
          <w:spacing w:val="0"/>
          <w:w w:val="100"/>
          <w:position w:val="0"/>
          <w:shd w:val="clear" w:color="auto" w:fill="auto"/>
          <w:lang w:val="en-US" w:eastAsia="en-US" w:bidi="en-US"/>
        </w:rPr>
        <w:t xml:space="preserve">The difference between the two extant recensions is, on the whole, but slight as regards the subject-matter; but in point of diction it is quite sufficient to make a comparison especially interesting from a philological point of view. Which of the two versions may be the more original cannot as yet be determined ; but the phonetic and grammatical differences will probably have to be accounted for by a geographical separation of the two schools rather than by a difference of age. In several points of difference the </w:t>
      </w:r>
      <w:r>
        <w:rPr>
          <w:rFonts w:ascii="Times New Roman" w:eastAsia="Times New Roman" w:hAnsi="Times New Roman" w:cs="Times New Roman"/>
          <w:color w:val="000000"/>
          <w:spacing w:val="0"/>
          <w:w w:val="100"/>
          <w:position w:val="0"/>
          <w:shd w:val="clear" w:color="auto" w:fill="auto"/>
          <w:lang w:val="de-DE" w:eastAsia="de-DE" w:bidi="de-DE"/>
        </w:rPr>
        <w:t xml:space="preserve">Känva </w:t>
      </w:r>
      <w:r>
        <w:rPr>
          <w:rFonts w:ascii="Times New Roman" w:eastAsia="Times New Roman" w:hAnsi="Times New Roman" w:cs="Times New Roman"/>
          <w:color w:val="000000"/>
          <w:spacing w:val="0"/>
          <w:w w:val="100"/>
          <w:position w:val="0"/>
          <w:shd w:val="clear" w:color="auto" w:fill="auto"/>
          <w:lang w:val="en-US" w:eastAsia="en-US" w:bidi="en-US"/>
        </w:rPr>
        <w:t xml:space="preserve">recension agrees with the practice of the </w:t>
      </w:r>
      <w:r>
        <w:rPr>
          <w:rFonts w:ascii="Times New Roman" w:eastAsia="Times New Roman" w:hAnsi="Times New Roman" w:cs="Times New Roman"/>
          <w:color w:val="000000"/>
          <w:spacing w:val="0"/>
          <w:w w:val="100"/>
          <w:position w:val="0"/>
          <w:shd w:val="clear" w:color="auto" w:fill="auto"/>
          <w:lang w:val="de-DE" w:eastAsia="de-DE" w:bidi="de-DE"/>
        </w:rPr>
        <w:t xml:space="preserve">Rik-samhitä,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probably was some connexion between the Yajus school of </w:t>
      </w:r>
      <w:r>
        <w:rPr>
          <w:rFonts w:ascii="Times New Roman" w:eastAsia="Times New Roman" w:hAnsi="Times New Roman" w:cs="Times New Roman"/>
          <w:color w:val="000000"/>
          <w:spacing w:val="0"/>
          <w:w w:val="100"/>
          <w:position w:val="0"/>
          <w:shd w:val="clear" w:color="auto" w:fill="auto"/>
          <w:lang w:val="de-DE" w:eastAsia="de-DE" w:bidi="de-DE"/>
        </w:rPr>
        <w:t xml:space="preserve">Känvas </w:t>
      </w:r>
      <w:r>
        <w:rPr>
          <w:rFonts w:ascii="Times New Roman" w:eastAsia="Times New Roman" w:hAnsi="Times New Roman" w:cs="Times New Roman"/>
          <w:color w:val="000000"/>
          <w:spacing w:val="0"/>
          <w:w w:val="100"/>
          <w:position w:val="0"/>
          <w:shd w:val="clear" w:color="auto" w:fill="auto"/>
          <w:lang w:val="en-US" w:eastAsia="en-US" w:bidi="en-US"/>
        </w:rPr>
        <w:t>and the famous family of risliis of that name to which the eighth mandala of the Rik is attributed.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VAjasaneyi-samhit</w:t>
      </w:r>
      <w:r>
        <w:rPr>
          <w:rFonts w:ascii="Times New Roman" w:eastAsia="Times New Roman" w:hAnsi="Times New Roman" w:cs="Times New Roman"/>
          <w:i/>
          <w:iCs/>
          <w:color w:val="000000"/>
          <w:spacing w:val="0"/>
          <w:w w:val="100"/>
          <w:position w:val="0"/>
          <w:shd w:val="clear" w:color="auto" w:fill="auto"/>
          <w:lang w:val="en-US" w:eastAsia="en-US" w:bidi="en-US"/>
        </w:rPr>
        <w:t>â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forty </w:t>
      </w:r>
      <w:r>
        <w:rPr>
          <w:rFonts w:ascii="Times New Roman" w:eastAsia="Times New Roman" w:hAnsi="Times New Roman" w:cs="Times New Roman"/>
          <w:color w:val="000000"/>
          <w:spacing w:val="0"/>
          <w:w w:val="100"/>
          <w:position w:val="0"/>
          <w:shd w:val="clear" w:color="auto" w:fill="auto"/>
          <w:lang w:val="de-DE" w:eastAsia="de-DE" w:bidi="de-DE"/>
        </w:rPr>
        <w:t>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yas,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eighteen of which contain the formulas of the ordinary sacrifices. The last fifteen </w:t>
      </w:r>
      <w:r>
        <w:rPr>
          <w:rFonts w:ascii="Times New Roman" w:eastAsia="Times New Roman" w:hAnsi="Times New Roman" w:cs="Times New Roman"/>
          <w:color w:val="000000"/>
          <w:spacing w:val="0"/>
          <w:w w:val="100"/>
          <w:position w:val="0"/>
          <w:shd w:val="clear" w:color="auto" w:fill="auto"/>
          <w:lang w:val="de-DE" w:eastAsia="de-DE" w:bidi="de-DE"/>
        </w:rPr>
        <w:t xml:space="preserve">adhyäyas </w:t>
      </w:r>
      <w:r>
        <w:rPr>
          <w:rFonts w:ascii="Times New Roman" w:eastAsia="Times New Roman" w:hAnsi="Times New Roman" w:cs="Times New Roman"/>
          <w:color w:val="000000"/>
          <w:spacing w:val="0"/>
          <w:w w:val="100"/>
          <w:position w:val="0"/>
          <w:shd w:val="clear" w:color="auto" w:fill="auto"/>
          <w:lang w:val="en-US" w:eastAsia="en-US" w:bidi="en-US"/>
        </w:rPr>
        <w:t xml:space="preserve">are doubtless a later addition,—as may also be the case as regards the preceding seven chapters. The last </w:t>
      </w:r>
      <w:r>
        <w:rPr>
          <w:rFonts w:ascii="Times New Roman" w:eastAsia="Times New Roman" w:hAnsi="Times New Roman" w:cs="Times New Roman"/>
          <w:color w:val="000000"/>
          <w:spacing w:val="0"/>
          <w:w w:val="100"/>
          <w:position w:val="0"/>
          <w:shd w:val="clear" w:color="auto" w:fill="auto"/>
          <w:lang w:val="de-DE" w:eastAsia="de-DE" w:bidi="de-DE"/>
        </w:rPr>
        <w:t>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is commonly known under the title of Vajasaneyi-sarphita- (or </w:t>
      </w:r>
      <w:r>
        <w:rPr>
          <w:rFonts w:ascii="Times New Roman" w:eastAsia="Times New Roman" w:hAnsi="Times New Roman" w:cs="Times New Roman"/>
          <w:color w:val="000000"/>
          <w:spacing w:val="0"/>
          <w:w w:val="100"/>
          <w:position w:val="0"/>
          <w:shd w:val="clear" w:color="auto" w:fill="auto"/>
          <w:lang w:val="de-DE" w:eastAsia="de-DE" w:bidi="de-DE"/>
        </w:rPr>
        <w:t>Is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sya-) </w:t>
      </w:r>
      <w:r>
        <w:rPr>
          <w:rFonts w:ascii="Times New Roman" w:eastAsia="Times New Roman" w:hAnsi="Times New Roman" w:cs="Times New Roman"/>
          <w:color w:val="000000"/>
          <w:spacing w:val="0"/>
          <w:w w:val="100"/>
          <w:position w:val="0"/>
          <w:shd w:val="clear" w:color="auto" w:fill="auto"/>
          <w:lang w:val="en-US" w:eastAsia="en-US" w:bidi="en-US"/>
        </w:rPr>
        <w:t>upanishad.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Its object seems to be to point out the fruitlessness of mere works, and to insist on the necessity of man’s acquiring a knowledge of the supreme spirit. The sacrificial texts of the Adhvaryus consist, in about equal parts, of verses (rich) and prose formulas (yajus). The majority of the former occur likewise in the Rik-samhit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from which they were doubtless extracted. Not unfrequently, however, they show considerable discrepancies of reading, which may bo explained partly from a difference of recen</w:t>
        <w:softHyphen/>
        <w:t>sion and partly as the result of the adaptation of these verses to their special sacrificial purpose. As regards the prose formulas, though only a few of them are actually referred to in the Rik, it is quite possible that many of them may be of high antiquity.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Satapatha-brAhmana,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or Brahmana of a hundred paths, derives its name from the fact of its consisting of 100 lectures </w:t>
      </w:r>
      <w:r>
        <w:rPr>
          <w:rFonts w:ascii="Times New Roman" w:eastAsia="Times New Roman" w:hAnsi="Times New Roman" w:cs="Times New Roman"/>
          <w:color w:val="000000"/>
          <w:spacing w:val="0"/>
          <w:w w:val="100"/>
          <w:position w:val="0"/>
          <w:shd w:val="clear" w:color="auto" w:fill="auto"/>
          <w:lang w:val="de-DE" w:eastAsia="de-DE" w:bidi="de-DE"/>
        </w:rPr>
        <w:t>(adhy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divided by the </w:t>
      </w:r>
      <w:r>
        <w:rPr>
          <w:rFonts w:ascii="Times New Roman" w:eastAsia="Times New Roman" w:hAnsi="Times New Roman" w:cs="Times New Roman"/>
          <w:color w:val="000000"/>
          <w:spacing w:val="0"/>
          <w:w w:val="100"/>
          <w:position w:val="0"/>
          <w:shd w:val="clear" w:color="auto" w:fill="auto"/>
          <w:lang w:val="de-DE" w:eastAsia="de-DE" w:bidi="de-DE"/>
        </w:rPr>
        <w:t>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dhyandinas </w:t>
      </w:r>
      <w:r>
        <w:rPr>
          <w:rFonts w:ascii="Times New Roman" w:eastAsia="Times New Roman" w:hAnsi="Times New Roman" w:cs="Times New Roman"/>
          <w:color w:val="000000"/>
          <w:spacing w:val="0"/>
          <w:w w:val="100"/>
          <w:position w:val="0"/>
          <w:shd w:val="clear" w:color="auto" w:fill="auto"/>
          <w:lang w:val="en-US" w:eastAsia="en-US" w:bidi="en-US"/>
        </w:rPr>
        <w:t>into fourteen, by</w:t>
      </w:r>
    </w:p>
    <w:p>
      <w:pPr>
        <w:pStyle w:val="Style9"/>
        <w:keepNext w:val="0"/>
        <w:keepLines w:val="0"/>
        <w:widowControl w:val="0"/>
        <w:shd w:val="clear" w:color="auto" w:fill="auto"/>
        <w:tabs>
          <w:tab w:pos="288" w:val="left"/>
        </w:tabs>
        <w:bidi w:val="0"/>
        <w:spacing w:line="182" w:lineRule="auto"/>
        <w:ind w:left="0" w:firstLine="360"/>
        <w:jc w:val="left"/>
        <w:rPr>
          <w:sz w:val="14"/>
          <w:szCs w:val="14"/>
        </w:rPr>
      </w:pPr>
      <w:r>
        <w:rPr>
          <w:rFonts w:ascii="Times New Roman" w:eastAsia="Times New Roman" w:hAnsi="Times New Roman" w:cs="Times New Roman"/>
          <w:i/>
          <w:iCs/>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ab/>
        <w:t>Proceedings of Am. Or. Soc.,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May 1883.</w:t>
      </w:r>
    </w:p>
    <w:p>
      <w:pPr>
        <w:pStyle w:val="Style3"/>
        <w:keepNext w:val="0"/>
        <w:keepLines w:val="0"/>
        <w:widowControl w:val="0"/>
        <w:shd w:val="clear" w:color="auto" w:fill="auto"/>
        <w:tabs>
          <w:tab w:pos="238"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with AgnisvAmin's commentary, and the v. 11. of the Dr</w:t>
      </w:r>
      <w:r>
        <w:rPr>
          <w:rFonts w:ascii="Times New Roman" w:eastAsia="Times New Roman" w:hAnsi="Times New Roman" w:cs="Times New Roman"/>
          <w:color w:val="000000"/>
          <w:spacing w:val="0"/>
          <w:w w:val="100"/>
          <w:position w:val="0"/>
          <w:sz w:val="14"/>
          <w:szCs w:val="14"/>
          <w:shd w:val="clear" w:color="auto" w:fill="auto"/>
          <w:lang w:val="en-US" w:eastAsia="en-US" w:bidi="en-US"/>
        </w:rPr>
        <w:t>âh</w:t>
      </w:r>
      <w:r>
        <w:rPr>
          <w:rFonts w:ascii="Times New Roman" w:eastAsia="Times New Roman" w:hAnsi="Times New Roman" w:cs="Times New Roman"/>
          <w:color w:val="000000"/>
          <w:spacing w:val="0"/>
          <w:w w:val="100"/>
          <w:position w:val="0"/>
          <w:sz w:val="14"/>
          <w:szCs w:val="14"/>
          <w:shd w:val="clear" w:color="auto" w:fill="auto"/>
          <w:lang w:val="en-US" w:eastAsia="en-US" w:bidi="en-US"/>
        </w:rPr>
        <w:t>y</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yana- s</w:t>
      </w:r>
      <w:r>
        <w:rPr>
          <w:rFonts w:ascii="Times New Roman" w:eastAsia="Times New Roman" w:hAnsi="Times New Roman" w:cs="Times New Roman"/>
          <w:color w:val="000000"/>
          <w:spacing w:val="0"/>
          <w:w w:val="100"/>
          <w:position w:val="0"/>
          <w:sz w:val="14"/>
          <w:szCs w:val="14"/>
          <w:shd w:val="clear" w:color="auto" w:fill="auto"/>
          <w:lang w:val="en-US" w:eastAsia="en-US" w:bidi="en-US"/>
        </w:rPr>
        <w:t>û</w:t>
      </w:r>
      <w:r>
        <w:rPr>
          <w:rFonts w:ascii="Times New Roman" w:eastAsia="Times New Roman" w:hAnsi="Times New Roman" w:cs="Times New Roman"/>
          <w:color w:val="000000"/>
          <w:spacing w:val="0"/>
          <w:w w:val="100"/>
          <w:position w:val="0"/>
          <w:sz w:val="14"/>
          <w:szCs w:val="14"/>
          <w:shd w:val="clear" w:color="auto" w:fill="auto"/>
          <w:lang w:val="en-US" w:eastAsia="en-US" w:bidi="en-US"/>
        </w:rPr>
        <w:t>tra, by Anandachandra Ved</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ntav</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gisa,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hibl.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1872.</w:t>
      </w:r>
    </w:p>
    <w:p>
      <w:pPr>
        <w:pStyle w:val="Style3"/>
        <w:keepNext w:val="0"/>
        <w:keepLines w:val="0"/>
        <w:widowControl w:val="0"/>
        <w:shd w:val="clear" w:color="auto" w:fill="auto"/>
        <w:tabs>
          <w:tab w:pos="288"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Two chapters published by A. weber,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Ind. 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viii.</w:t>
      </w:r>
    </w:p>
    <w:p>
      <w:pPr>
        <w:pStyle w:val="Style3"/>
        <w:keepNext w:val="0"/>
        <w:keepLines w:val="0"/>
        <w:widowControl w:val="0"/>
        <w:shd w:val="clear" w:color="auto" w:fill="auto"/>
        <w:tabs>
          <w:tab w:pos="292" w:val="left"/>
        </w:tabs>
        <w:bidi w:val="0"/>
        <w:spacing w:line="182" w:lineRule="auto"/>
        <w:ind w:left="0" w:firstLine="360"/>
        <w:jc w:val="left"/>
        <w:rPr>
          <w:sz w:val="10"/>
          <w:szCs w:val="10"/>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with a commentary, by ChandrakAnta Tarkalank</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ra,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 Ind.</w:t>
      </w:r>
    </w:p>
    <w:p>
      <w:pPr>
        <w:pStyle w:val="Style3"/>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A. Stenzler; translated by G. Buhler,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Sacred Books,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ii.</w:t>
      </w:r>
    </w:p>
    <w:p>
      <w:pPr>
        <w:pStyle w:val="Style3"/>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process of publication by L. v. Schroeder.</w:t>
      </w:r>
    </w:p>
    <w:p>
      <w:pPr>
        <w:pStyle w:val="Style3"/>
        <w:keepNext w:val="0"/>
        <w:keepLines w:val="0"/>
        <w:widowControl w:val="0"/>
        <w:shd w:val="clear" w:color="auto" w:fill="auto"/>
        <w:bidi w:val="0"/>
        <w:spacing w:line="182" w:lineRule="auto"/>
        <w:ind w:left="0" w:firstLine="360"/>
        <w:jc w:val="left"/>
        <w:rPr>
          <w:sz w:val="10"/>
          <w:szCs w:val="10"/>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Partly published, with Sayana's commentary, by E. Roer, E. B. Cowell, &lt;fec., in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Bibt. Ind.</w:t>
      </w:r>
    </w:p>
    <w:p>
      <w:pPr>
        <w:pStyle w:val="Style3"/>
        <w:keepNext w:val="0"/>
        <w:keepLines w:val="0"/>
        <w:widowControl w:val="0"/>
        <w:shd w:val="clear" w:color="auto" w:fill="auto"/>
        <w:tabs>
          <w:tab w:pos="275" w:val="left"/>
        </w:tabs>
        <w:bidi w:val="0"/>
        <w:spacing w:line="185" w:lineRule="auto"/>
        <w:ind w:left="0" w:firstLine="360"/>
        <w:jc w:val="left"/>
        <w:rPr>
          <w:sz w:val="10"/>
          <w:szCs w:val="10"/>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with S</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yana’s commentary, by R</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jendral</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la Mitra,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 Ind.</w:t>
      </w:r>
    </w:p>
    <w:p>
      <w:pPr>
        <w:pStyle w:val="Style3"/>
        <w:keepNext w:val="0"/>
        <w:keepLines w:val="0"/>
        <w:widowControl w:val="0"/>
        <w:shd w:val="clear" w:color="auto" w:fill="auto"/>
        <w:tabs>
          <w:tab w:pos="246" w:val="left"/>
        </w:tabs>
        <w:bidi w:val="0"/>
        <w:spacing w:line="185" w:lineRule="auto"/>
        <w:ind w:left="0" w:firstLine="360"/>
        <w:jc w:val="left"/>
        <w:rPr>
          <w:sz w:val="10"/>
          <w:szCs w:val="10"/>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Text and translation published by E. B. Cowell,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 Ind.</w:t>
      </w:r>
    </w:p>
    <w:p>
      <w:pPr>
        <w:pStyle w:val="Style3"/>
        <w:keepNext w:val="0"/>
        <w:keepLines w:val="0"/>
        <w:widowControl w:val="0"/>
        <w:shd w:val="clear" w:color="auto" w:fill="auto"/>
        <w:tabs>
          <w:tab w:pos="290" w:val="left"/>
        </w:tabs>
        <w:bidi w:val="0"/>
        <w:spacing w:line="185" w:lineRule="auto"/>
        <w:ind w:left="0" w:firstLine="360"/>
        <w:jc w:val="left"/>
        <w:rPr>
          <w:sz w:val="10"/>
          <w:szCs w:val="10"/>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Text, commentary, and translation published by E. R</w:t>
      </w:r>
      <w:r>
        <w:rPr>
          <w:rFonts w:ascii="Times New Roman" w:eastAsia="Times New Roman" w:hAnsi="Times New Roman" w:cs="Times New Roman"/>
          <w:color w:val="000000"/>
          <w:spacing w:val="0"/>
          <w:w w:val="100"/>
          <w:position w:val="0"/>
          <w:sz w:val="14"/>
          <w:szCs w:val="14"/>
          <w:shd w:val="clear" w:color="auto" w:fill="auto"/>
          <w:lang w:val="en-US" w:eastAsia="en-US" w:bidi="en-US"/>
        </w:rPr>
        <w:t>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er,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 Ind.</w:t>
      </w:r>
    </w:p>
    <w:p>
      <w:pPr>
        <w:pStyle w:val="Style3"/>
        <w:keepNext w:val="0"/>
        <w:keepLines w:val="0"/>
        <w:widowControl w:val="0"/>
        <w:shd w:val="clear" w:color="auto" w:fill="auto"/>
        <w:tabs>
          <w:tab w:pos="212" w:val="left"/>
        </w:tabs>
        <w:bidi w:val="0"/>
        <w:spacing w:line="18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in the M</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dhyandina recension, with the commentary of Mahldhara, and the v. 11. of the K</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nva text, by A. Weber, 1849.</w:t>
      </w:r>
    </w:p>
    <w:p>
      <w:pPr>
        <w:pStyle w:val="Style3"/>
        <w:keepNext w:val="0"/>
        <w:keepLines w:val="0"/>
        <w:widowControl w:val="0"/>
        <w:shd w:val="clear" w:color="auto" w:fill="auto"/>
        <w:tabs>
          <w:tab w:pos="212" w:val="left"/>
        </w:tabs>
        <w:bidi w:val="0"/>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Translation by 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Röer,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Bibl.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by F. M.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Müller,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Sacred Books of the East,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w:t>
      </w:r>
    </w:p>
    <w:p>
      <w:pPr>
        <w:pStyle w:val="Style3"/>
        <w:keepNext w:val="0"/>
        <w:keepLines w:val="0"/>
        <w:widowControl w:val="0"/>
        <w:shd w:val="clear" w:color="auto" w:fill="auto"/>
        <w:tabs>
          <w:tab w:pos="223" w:val="left"/>
        </w:tabs>
        <w:bidi w:val="0"/>
        <w:spacing w:line="18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by A. Weber, who also translated the first chapter into German. In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Sacred Books of the East,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translation, by J. Eggeling, is being published,—2 vols., containing the first four books, having appeared.</w:t>
      </w:r>
    </w:p>
    <w:p>
      <w:pPr>
        <w:widowControl w:val="0"/>
        <w:spacing w:line="1" w:lineRule="exact"/>
      </w:pPr>
    </w:p>
    <w:sectPr>
      <w:footnotePr>
        <w:pos w:val="pageBottom"/>
        <w:numFmt w:val="decimal"/>
        <w:numRestart w:val="continuous"/>
      </w:footnotePr>
      <w:type w:val="continuous"/>
      <w:pgSz w:w="12240" w:h="16840"/>
      <w:pgMar w:top="1936" w:left="1643" w:right="993" w:bottom="9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0">
    <w:name w:val="Body text (6)_"/>
    <w:basedOn w:val="DefaultParagraphFont"/>
    <w:link w:val="Style9"/>
    <w:rPr>
      <w:b w:val="0"/>
      <w:bCs w:val="0"/>
      <w:i w:val="0"/>
      <w:iCs w:val="0"/>
      <w:smallCaps w:val="0"/>
      <w:strike w:val="0"/>
      <w:sz w:val="10"/>
      <w:szCs w:val="10"/>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276" w:lineRule="auto"/>
      <w:ind w:firstLine="200"/>
      <w:jc w:val="both"/>
    </w:pPr>
    <w:rPr>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