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cloud, will have to sail in his airy voyage. This little masterpiece has called forth a number of more or less suc</w:t>
        <w:softHyphen/>
        <w:t xml:space="preserve">cessful imitations, such as Lakshmidasa’s </w:t>
      </w:r>
      <w:r>
        <w:rPr>
          <w:rFonts w:ascii="Times New Roman" w:eastAsia="Times New Roman" w:hAnsi="Times New Roman" w:cs="Times New Roman"/>
          <w:i/>
          <w:iCs/>
          <w:color w:val="000000"/>
          <w:spacing w:val="0"/>
          <w:w w:val="100"/>
          <w:position w:val="0"/>
          <w:shd w:val="clear" w:color="auto" w:fill="auto"/>
          <w:lang w:val="en-US" w:eastAsia="en-US" w:bidi="en-US"/>
        </w:rPr>
        <w:t>Suka-sandesa,</w:t>
      </w:r>
      <w:r>
        <w:rPr>
          <w:rFonts w:ascii="Times New Roman" w:eastAsia="Times New Roman" w:hAnsi="Times New Roman" w:cs="Times New Roman"/>
          <w:color w:val="000000"/>
          <w:spacing w:val="0"/>
          <w:w w:val="100"/>
          <w:position w:val="0"/>
          <w:shd w:val="clear" w:color="auto" w:fill="auto"/>
          <w:lang w:val="en-US" w:eastAsia="en-US" w:bidi="en-US"/>
        </w:rPr>
        <w:t xml:space="preserve"> or “ parrot-message,” lately edited by the maharaja of Travan- core. Another much admired descriptive poem by Kalidasa is the </w:t>
      </w:r>
      <w:r>
        <w:rPr>
          <w:rFonts w:ascii="Times New Roman" w:eastAsia="Times New Roman" w:hAnsi="Times New Roman" w:cs="Times New Roman"/>
          <w:i/>
          <w:iCs/>
          <w:color w:val="000000"/>
          <w:spacing w:val="0"/>
          <w:w w:val="100"/>
          <w:position w:val="0"/>
          <w:shd w:val="clear" w:color="auto" w:fill="auto"/>
          <w:lang w:val="en-US" w:eastAsia="en-US" w:bidi="en-US"/>
        </w:rPr>
        <w:t>Ritu-samh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“collection of the seasons,” in which the attractive features of the six seasons are suc</w:t>
        <w:softHyphen/>
        <w:t>cessively set forth.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religious lyrics, the fruit of sectarian fervour, a large collection of hymns and detached stanzas, extolling some special deity, might be made from Puranas and other works. Of independent productions of this kind only a few of the more important can be mentioned here.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ankaracharya, the great Vedantist, who probably lived in the 7th century, is credited with several devo</w:t>
        <w:softHyphen/>
        <w:t xml:space="preserve">tional poems, especially the </w:t>
      </w:r>
      <w:r>
        <w:rPr>
          <w:rFonts w:ascii="Times New Roman" w:eastAsia="Times New Roman" w:hAnsi="Times New Roman" w:cs="Times New Roman"/>
          <w:i/>
          <w:iCs/>
          <w:color w:val="000000"/>
          <w:spacing w:val="0"/>
          <w:w w:val="100"/>
          <w:position w:val="0"/>
          <w:shd w:val="clear" w:color="auto" w:fill="auto"/>
          <w:lang w:val="en-US" w:eastAsia="en-US" w:bidi="en-US"/>
        </w:rPr>
        <w:t>Ananda-lahar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 wave of joy,” a hymn of 103 stanzas, in praise of the goddess Par- vati.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rya-sataka,</w:t>
      </w:r>
      <w:r>
        <w:rPr>
          <w:rFonts w:ascii="Times New Roman" w:eastAsia="Times New Roman" w:hAnsi="Times New Roman" w:cs="Times New Roman"/>
          <w:color w:val="000000"/>
          <w:spacing w:val="0"/>
          <w:w w:val="100"/>
          <w:position w:val="0"/>
          <w:shd w:val="clear" w:color="auto" w:fill="auto"/>
          <w:lang w:val="en-US" w:eastAsia="en-US" w:bidi="en-US"/>
        </w:rPr>
        <w:t xml:space="preserve"> or century of stanzas in praise of </w:t>
      </w:r>
      <w:r>
        <w:rPr>
          <w:rFonts w:ascii="Times New Roman" w:eastAsia="Times New Roman" w:hAnsi="Times New Roman" w:cs="Times New Roman"/>
          <w:color w:val="000000"/>
          <w:spacing w:val="0"/>
          <w:w w:val="100"/>
          <w:position w:val="0"/>
          <w:shd w:val="clear" w:color="auto" w:fill="auto"/>
          <w:lang w:val="en-US" w:eastAsia="en-US" w:bidi="en-US"/>
        </w:rPr>
        <w:t>Śû</w:t>
      </w:r>
      <w:r>
        <w:rPr>
          <w:rFonts w:ascii="Times New Roman" w:eastAsia="Times New Roman" w:hAnsi="Times New Roman" w:cs="Times New Roman"/>
          <w:color w:val="000000"/>
          <w:spacing w:val="0"/>
          <w:w w:val="100"/>
          <w:position w:val="0"/>
          <w:shd w:val="clear" w:color="auto" w:fill="auto"/>
          <w:lang w:val="en-US" w:eastAsia="en-US" w:bidi="en-US"/>
        </w:rPr>
        <w:t>rya, the sun, is ascribed to May</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ra, the contemporary (and, according to a tradition, the father-in-law) of Bana (in the early part of the 7 th century). The latter poet himself composed the </w:t>
      </w:r>
      <w:r>
        <w:rPr>
          <w:rFonts w:ascii="Times New Roman" w:eastAsia="Times New Roman" w:hAnsi="Times New Roman" w:cs="Times New Roman"/>
          <w:i/>
          <w:iCs/>
          <w:color w:val="000000"/>
          <w:spacing w:val="0"/>
          <w:w w:val="100"/>
          <w:position w:val="0"/>
          <w:shd w:val="clear" w:color="auto" w:fill="auto"/>
          <w:lang w:val="en-US" w:eastAsia="en-US" w:bidi="en-US"/>
        </w:rPr>
        <w:t>Chandik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stotra,</w:t>
      </w:r>
      <w:r>
        <w:rPr>
          <w:rFonts w:ascii="Times New Roman" w:eastAsia="Times New Roman" w:hAnsi="Times New Roman" w:cs="Times New Roman"/>
          <w:color w:val="000000"/>
          <w:spacing w:val="0"/>
          <w:w w:val="100"/>
          <w:position w:val="0"/>
          <w:shd w:val="clear" w:color="auto" w:fill="auto"/>
          <w:lang w:val="en-US" w:eastAsia="en-US" w:bidi="en-US"/>
        </w:rPr>
        <w:t xml:space="preserve"> a hymn of 102 stanzas, extolling Siva’s consort. The </w:t>
      </w:r>
      <w:r>
        <w:rPr>
          <w:rFonts w:ascii="Times New Roman" w:eastAsia="Times New Roman" w:hAnsi="Times New Roman" w:cs="Times New Roman"/>
          <w:i/>
          <w:iCs/>
          <w:color w:val="000000"/>
          <w:spacing w:val="0"/>
          <w:w w:val="100"/>
          <w:position w:val="0"/>
          <w:shd w:val="clear" w:color="auto" w:fill="auto"/>
          <w:lang w:val="en-US" w:eastAsia="en-US" w:bidi="en-US"/>
        </w:rPr>
        <w:t>Khandapra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asti,</w:t>
      </w:r>
      <w:r>
        <w:rPr>
          <w:rFonts w:ascii="Times New Roman" w:eastAsia="Times New Roman" w:hAnsi="Times New Roman" w:cs="Times New Roman"/>
          <w:color w:val="000000"/>
          <w:spacing w:val="0"/>
          <w:w w:val="100"/>
          <w:position w:val="0"/>
          <w:shd w:val="clear" w:color="auto" w:fill="auto"/>
          <w:lang w:val="en-US" w:eastAsia="en-US" w:bidi="en-US"/>
        </w:rPr>
        <w:t xml:space="preserve"> a poem celebrating the ten avataras of Vishnu, is ascribed to no other than Hanuman, the monkey general, himself. Jayadeva’s beautiful poem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ît</w:t>
      </w:r>
      <w:r>
        <w:rPr>
          <w:rFonts w:ascii="Times New Roman" w:eastAsia="Times New Roman" w:hAnsi="Times New Roman" w:cs="Times New Roman"/>
          <w:i/>
          <w:iCs/>
          <w:color w:val="000000"/>
          <w:spacing w:val="0"/>
          <w:w w:val="100"/>
          <w:position w:val="0"/>
          <w:shd w:val="clear" w:color="auto" w:fill="auto"/>
          <w:lang w:val="en-US" w:eastAsia="en-US" w:bidi="en-US"/>
        </w:rPr>
        <w:t>agovinda,</w:t>
      </w:r>
      <w:r>
        <w:rPr>
          <w:rFonts w:ascii="Times New Roman" w:eastAsia="Times New Roman" w:hAnsi="Times New Roman" w:cs="Times New Roman"/>
          <w:color w:val="000000"/>
          <w:spacing w:val="0"/>
          <w:w w:val="100"/>
          <w:position w:val="0"/>
          <w:shd w:val="clear" w:color="auto" w:fill="auto"/>
          <w:lang w:val="en-US" w:eastAsia="en-US" w:bidi="en-US"/>
        </w:rPr>
        <w:t xml:space="preserve"> which, like most productions concerning Krishna, is of a very sensuous character, has already been referred to.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particular branch of didactic poetry in which India is especially rich is that of moral maxims, expressed in single stanzas or couplets, and forming the chief vehicle of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 xml:space="preserve"> or ethic science. Excellent collections of such aphorisms have been published,—in Sanskrit and German by Dr v. B</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htlingk, and in English by Dr J. Muir. Probably the oldest original collection of this kind is that ascribed to Chanakya,—and entitled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jan</w:t>
      </w:r>
      <w:r>
        <w:rPr>
          <w:rFonts w:ascii="Times New Roman" w:eastAsia="Times New Roman" w:hAnsi="Times New Roman" w:cs="Times New Roman"/>
          <w:i/>
          <w:iCs/>
          <w:color w:val="000000"/>
          <w:spacing w:val="0"/>
          <w:w w:val="100"/>
          <w:position w:val="0"/>
          <w:shd w:val="clear" w:color="auto" w:fill="auto"/>
          <w:lang w:val="en-US" w:eastAsia="en-US" w:bidi="en-US"/>
        </w:rPr>
        <w:t>ît</w:t>
      </w:r>
      <w:r>
        <w:rPr>
          <w:rFonts w:ascii="Times New Roman" w:eastAsia="Times New Roman" w:hAnsi="Times New Roman" w:cs="Times New Roman"/>
          <w:i/>
          <w:iCs/>
          <w:color w:val="000000"/>
          <w:spacing w:val="0"/>
          <w:w w:val="100"/>
          <w:position w:val="0"/>
          <w:shd w:val="clear" w:color="auto" w:fill="auto"/>
          <w:lang w:val="en-US" w:eastAsia="en-US" w:bidi="en-US"/>
        </w:rPr>
        <w:t>isa- muchchaya, “</w:t>
      </w:r>
      <w:r>
        <w:rPr>
          <w:rFonts w:ascii="Times New Roman" w:eastAsia="Times New Roman" w:hAnsi="Times New Roman" w:cs="Times New Roman"/>
          <w:color w:val="000000"/>
          <w:spacing w:val="0"/>
          <w:w w:val="100"/>
          <w:position w:val="0"/>
          <w:shd w:val="clear" w:color="auto" w:fill="auto"/>
          <w:lang w:val="en-US" w:eastAsia="en-US" w:bidi="en-US"/>
        </w:rPr>
        <w:t xml:space="preserve"> collection on the conduct of kings ”—tradi</w:t>
        <w:softHyphen/>
        <w:t xml:space="preserve">tionally connected with the Machiavellian minister of Chandragupta, but (in its present form) doubtless much later—of which there are several recensions, especially a shorter one of one hundred couplets, and a larger one of some three hundred. Another old collection is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mandak</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ya-N</w:t>
      </w:r>
      <w:r>
        <w:rPr>
          <w:rFonts w:ascii="Times New Roman" w:eastAsia="Times New Roman" w:hAnsi="Times New Roman" w:cs="Times New Roman"/>
          <w:i/>
          <w:iCs/>
          <w:color w:val="000000"/>
          <w:spacing w:val="0"/>
          <w:w w:val="100"/>
          <w:position w:val="0"/>
          <w:shd w:val="clear" w:color="auto" w:fill="auto"/>
          <w:lang w:val="en-US" w:eastAsia="en-US" w:bidi="en-US"/>
        </w:rPr>
        <w:t>ît</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ascribed to Kamandaki, who is said to have been the disciple of Chanakya. Under the name of Bhartrihari have been handed down three centuries of sententious couplets, one of which,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ît</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 xml:space="preserve">ataka, </w:t>
      </w:r>
      <w:r>
        <w:rPr>
          <w:rFonts w:ascii="Times New Roman" w:eastAsia="Times New Roman" w:hAnsi="Times New Roman" w:cs="Times New Roman"/>
          <w:color w:val="000000"/>
          <w:spacing w:val="0"/>
          <w:w w:val="100"/>
          <w:position w:val="0"/>
          <w:shd w:val="clear" w:color="auto" w:fill="auto"/>
          <w:lang w:val="en-US" w:eastAsia="en-US" w:bidi="en-US"/>
        </w:rPr>
        <w:t xml:space="preserve">relates to ethics, whilst the other two, the </w:t>
      </w:r>
      <w:r>
        <w:rPr>
          <w:rFonts w:ascii="Times New Roman" w:eastAsia="Times New Roman" w:hAnsi="Times New Roman" w:cs="Times New Roman"/>
          <w:i/>
          <w:iCs/>
          <w:color w:val="000000"/>
          <w:spacing w:val="0"/>
          <w:w w:val="100"/>
          <w:position w:val="0"/>
          <w:shd w:val="clear" w:color="auto" w:fill="auto"/>
          <w:lang w:val="en-US" w:eastAsia="en-US" w:bidi="en-US"/>
        </w:rPr>
        <w:t>sring</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vair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gya-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atakas,</w:t>
      </w:r>
      <w:r>
        <w:rPr>
          <w:rFonts w:ascii="Times New Roman" w:eastAsia="Times New Roman" w:hAnsi="Times New Roman" w:cs="Times New Roman"/>
          <w:color w:val="000000"/>
          <w:spacing w:val="0"/>
          <w:w w:val="100"/>
          <w:position w:val="0"/>
          <w:shd w:val="clear" w:color="auto" w:fill="auto"/>
          <w:lang w:val="en-US" w:eastAsia="en-US" w:bidi="en-US"/>
        </w:rPr>
        <w:t xml:space="preserve"> consist of amatory and devotional verses respectively.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ît</w:t>
      </w:r>
      <w:r>
        <w:rPr>
          <w:rFonts w:ascii="Times New Roman" w:eastAsia="Times New Roman" w:hAnsi="Times New Roman" w:cs="Times New Roman"/>
          <w:i/>
          <w:iCs/>
          <w:color w:val="000000"/>
          <w:spacing w:val="0"/>
          <w:w w:val="100"/>
          <w:position w:val="0"/>
          <w:shd w:val="clear" w:color="auto" w:fill="auto"/>
          <w:lang w:val="en-US" w:eastAsia="en-US" w:bidi="en-US"/>
        </w:rPr>
        <w:t>i-pradipa,</w:t>
      </w:r>
      <w:r>
        <w:rPr>
          <w:rFonts w:ascii="Times New Roman" w:eastAsia="Times New Roman" w:hAnsi="Times New Roman" w:cs="Times New Roman"/>
          <w:color w:val="000000"/>
          <w:spacing w:val="0"/>
          <w:w w:val="100"/>
          <w:position w:val="0"/>
          <w:shd w:val="clear" w:color="auto" w:fill="auto"/>
          <w:lang w:val="en-US" w:eastAsia="en-US" w:bidi="en-US"/>
        </w:rPr>
        <w:t xml:space="preserve"> or “lamp of conduct,” consisting of sixteen stanzas, is ascribed to Vet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labhatta who is mentioned as one of nine gems at Vikramaditya’s court (c. 550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Amar</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ataka,</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a hundred stanzas, ascribed to a King Amaru (sometimes wrongly to Sankara), and the </w:t>
      </w:r>
      <w:r>
        <w:rPr>
          <w:rFonts w:ascii="Times New Roman" w:eastAsia="Times New Roman" w:hAnsi="Times New Roman" w:cs="Times New Roman"/>
          <w:i/>
          <w:iCs/>
          <w:color w:val="000000"/>
          <w:spacing w:val="0"/>
          <w:w w:val="100"/>
          <w:position w:val="0"/>
          <w:shd w:val="clear" w:color="auto" w:fill="auto"/>
          <w:lang w:val="en-US" w:eastAsia="en-US" w:bidi="en-US"/>
        </w:rPr>
        <w:t>Chaura-suratapanch</w:t>
      </w:r>
      <w:r>
        <w:rPr>
          <w:rFonts w:ascii="Times New Roman" w:eastAsia="Times New Roman" w:hAnsi="Times New Roman" w:cs="Times New Roman"/>
          <w:i/>
          <w:iCs/>
          <w:color w:val="000000"/>
          <w:spacing w:val="0"/>
          <w:w w:val="100"/>
          <w:position w:val="0"/>
          <w:shd w:val="clear" w:color="auto" w:fill="auto"/>
          <w:lang w:val="en-US" w:eastAsia="en-US" w:bidi="en-US"/>
        </w:rPr>
        <w:t>âś</w:t>
      </w:r>
      <w:r>
        <w:rPr>
          <w:rFonts w:ascii="Times New Roman" w:eastAsia="Times New Roman" w:hAnsi="Times New Roman" w:cs="Times New Roman"/>
          <w:i/>
          <w:iCs/>
          <w:color w:val="000000"/>
          <w:spacing w:val="0"/>
          <w:w w:val="100"/>
          <w:position w:val="0"/>
          <w:shd w:val="clear" w:color="auto" w:fill="auto"/>
          <w:lang w:val="en-US" w:eastAsia="en-US" w:bidi="en-US"/>
        </w:rPr>
        <w:t>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by Bilhana (11th century), are of an entirely erotic character.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Fables and Narratives.—</w:t>
      </w:r>
      <w:r>
        <w:rPr>
          <w:rFonts w:ascii="Times New Roman" w:eastAsia="Times New Roman" w:hAnsi="Times New Roman" w:cs="Times New Roman"/>
          <w:color w:val="000000"/>
          <w:spacing w:val="0"/>
          <w:w w:val="100"/>
          <w:position w:val="0"/>
          <w:shd w:val="clear" w:color="auto" w:fill="auto"/>
          <w:lang w:val="en-US" w:eastAsia="en-US" w:bidi="en-US"/>
        </w:rPr>
        <w:t>For purposes of popular in</w:t>
        <w:softHyphen/>
        <w:t>struction stanzas of an ethical import were early worked up with existing prose fables and popular stories, pro</w:t>
        <w:softHyphen/>
        <w:t xml:space="preserve">bably in imitation of the Buddhist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takas,</w:t>
      </w:r>
      <w:r>
        <w:rPr>
          <w:rFonts w:ascii="Times New Roman" w:eastAsia="Times New Roman" w:hAnsi="Times New Roman" w:cs="Times New Roman"/>
          <w:color w:val="000000"/>
          <w:spacing w:val="0"/>
          <w:w w:val="100"/>
          <w:position w:val="0"/>
          <w:shd w:val="clear" w:color="auto" w:fill="auto"/>
          <w:lang w:val="en-US" w:eastAsia="en-US" w:bidi="en-US"/>
        </w:rPr>
        <w:t xml:space="preserve"> or birth- stories. A collection of this kind, intended as a manual for the guidance of princes </w:t>
      </w:r>
      <w:r>
        <w:rPr>
          <w:rFonts w:ascii="Times New Roman" w:eastAsia="Times New Roman" w:hAnsi="Times New Roman" w:cs="Times New Roman"/>
          <w:i/>
          <w:iCs/>
          <w:color w:val="000000"/>
          <w:spacing w:val="0"/>
          <w:w w:val="100"/>
          <w:position w:val="0"/>
          <w:shd w:val="clear" w:color="auto" w:fill="auto"/>
          <w:lang w:val="en-US" w:eastAsia="en-US" w:bidi="en-US"/>
        </w:rPr>
        <w:t>(in usum delphini),</w:t>
      </w:r>
      <w:r>
        <w:rPr>
          <w:rFonts w:ascii="Times New Roman" w:eastAsia="Times New Roman" w:hAnsi="Times New Roman" w:cs="Times New Roman"/>
          <w:color w:val="000000"/>
          <w:spacing w:val="0"/>
          <w:w w:val="100"/>
          <w:position w:val="0"/>
          <w:shd w:val="clear" w:color="auto" w:fill="auto"/>
          <w:lang w:val="en-US" w:eastAsia="en-US" w:bidi="en-US"/>
        </w:rPr>
        <w:t xml:space="preserve"> was trans</w:t>
        <w:softHyphen/>
        <w:t xml:space="preserve">lated into Pahlavi in the reign of the Persian king Chosru Nushirvan, 531-579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 but neither this translation nor the original is any longer extant. A Syriac transla</w:t>
        <w:softHyphen/>
        <w:t>tion, however, made from the Pahlavi in the same century, under the title of “ Qualilag and Dimnag ”—from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Sanskrit “Karataka and Damanaka,” two jackals who play an important part as the lion’s counsellors—has been discovered and published. The Sanskrit original, which probably consisted of fourteen chapters, was after</w:t>
        <w:softHyphen/>
        <w:t xml:space="preserve">wards recast,—the result being the existing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Panchatantra, @@3 </w:t>
      </w:r>
      <w:r>
        <w:rPr>
          <w:rFonts w:ascii="Times New Roman" w:eastAsia="Times New Roman" w:hAnsi="Times New Roman" w:cs="Times New Roman"/>
          <w:color w:val="000000"/>
          <w:spacing w:val="0"/>
          <w:w w:val="100"/>
          <w:position w:val="0"/>
          <w:shd w:val="clear" w:color="auto" w:fill="auto"/>
          <w:lang w:val="en-US" w:eastAsia="en-US" w:bidi="en-US"/>
        </w:rPr>
        <w:t xml:space="preserve">or “five books” (or headings). A popular summary of this work, in four books, the </w:t>
      </w:r>
      <w:r>
        <w:rPr>
          <w:rFonts w:ascii="Times New Roman" w:eastAsia="Times New Roman" w:hAnsi="Times New Roman" w:cs="Times New Roman"/>
          <w:i/>
          <w:iCs/>
          <w:color w:val="000000"/>
          <w:spacing w:val="0"/>
          <w:w w:val="100"/>
          <w:position w:val="0"/>
          <w:shd w:val="clear" w:color="auto" w:fill="auto"/>
          <w:lang w:val="en-US" w:eastAsia="en-US" w:bidi="en-US"/>
        </w:rPr>
        <w:t>Hitopadesa, @@4</w:t>
      </w:r>
      <w:r>
        <w:rPr>
          <w:rFonts w:ascii="Times New Roman" w:eastAsia="Times New Roman" w:hAnsi="Times New Roman" w:cs="Times New Roman"/>
          <w:color w:val="000000"/>
          <w:spacing w:val="0"/>
          <w:w w:val="100"/>
          <w:position w:val="0"/>
          <w:shd w:val="clear" w:color="auto" w:fill="auto"/>
          <w:lang w:val="en-US" w:eastAsia="en-US" w:bidi="en-US"/>
        </w:rPr>
        <w:t xml:space="preserve"> or “ Salutary counsel,” is ascribed to the Brahman Vishnusarman. Other highly popular collections of stories and fairy tales, interspersed with moral maxims, are—the </w:t>
      </w:r>
      <w:r>
        <w:rPr>
          <w:rFonts w:ascii="Times New Roman" w:eastAsia="Times New Roman" w:hAnsi="Times New Roman" w:cs="Times New Roman"/>
          <w:i/>
          <w:iCs/>
          <w:color w:val="000000"/>
          <w:spacing w:val="0"/>
          <w:w w:val="100"/>
          <w:position w:val="0"/>
          <w:shd w:val="clear" w:color="auto" w:fill="auto"/>
          <w:lang w:val="en-US" w:eastAsia="en-US" w:bidi="en-US"/>
        </w:rPr>
        <w:t>Vet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la-pan- chavim</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ati</w:t>
      </w:r>
      <w:r>
        <w:rPr>
          <w:rFonts w:ascii="Times New Roman" w:eastAsia="Times New Roman" w:hAnsi="Times New Roman" w:cs="Times New Roman"/>
          <w:color w:val="000000"/>
          <w:spacing w:val="0"/>
          <w:w w:val="100"/>
          <w:position w:val="0"/>
          <w:shd w:val="clear" w:color="auto" w:fill="auto"/>
          <w:lang w:val="en-US" w:eastAsia="en-US" w:bidi="en-US"/>
        </w:rPr>
        <w:t xml:space="preserve"> or “ twenty-five (stories) of the Vetala” (the original of the Baital Pachisi), ascribed either to Jambhala Datta, or to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ivad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sa (while Prof. Weber suggests that Vet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la-bhatta may have been the author), and at all events older than the 12th century, since Somadeva has used it;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uka-saptati,</w:t>
      </w:r>
      <w:r>
        <w:rPr>
          <w:rFonts w:ascii="Times New Roman" w:eastAsia="Times New Roman" w:hAnsi="Times New Roman" w:cs="Times New Roman"/>
          <w:color w:val="000000"/>
          <w:spacing w:val="0"/>
          <w:w w:val="100"/>
          <w:position w:val="0"/>
          <w:shd w:val="clear" w:color="auto" w:fill="auto"/>
          <w:lang w:val="en-US" w:eastAsia="en-US" w:bidi="en-US"/>
        </w:rPr>
        <w:t xml:space="preserve"> or “ seventy (stories related) by the parrot,” the author and age of which are unknown; and the </w:t>
      </w:r>
      <w:r>
        <w:rPr>
          <w:rFonts w:ascii="Times New Roman" w:eastAsia="Times New Roman" w:hAnsi="Times New Roman" w:cs="Times New Roman"/>
          <w:i/>
          <w:iCs/>
          <w:color w:val="000000"/>
          <w:spacing w:val="0"/>
          <w:w w:val="100"/>
          <w:position w:val="0"/>
          <w:shd w:val="clear" w:color="auto" w:fill="auto"/>
          <w:lang w:val="en-US" w:eastAsia="en-US" w:bidi="en-US"/>
        </w:rPr>
        <w:t>Simhdsana-dv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trim</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“thirty-two (tales) of the throne,” being laudatory stories regarding Vikramaditya, related by thirty-two statues, standing round the old throne of that famous monarch, to King Bhoja of Dh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to dis</w:t>
        <w:softHyphen/>
        <w:t xml:space="preserve">courage him from sitting down on it. This work is ascribed to Kshemankara, and was probably composed in the time of Bhoja (who died in 1053) from older stories in the Maharashtra dialect. The original text has, however, undergone many modifications, and is now known in several different recensions. Of about the same date are two great storehouses of fairy tales, composed entirely in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lokas, viz., the </w:t>
      </w:r>
      <w:r>
        <w:rPr>
          <w:rFonts w:ascii="Times New Roman" w:eastAsia="Times New Roman" w:hAnsi="Times New Roman" w:cs="Times New Roman"/>
          <w:i/>
          <w:iCs/>
          <w:color w:val="000000"/>
          <w:spacing w:val="0"/>
          <w:w w:val="100"/>
          <w:position w:val="0"/>
          <w:shd w:val="clear" w:color="auto" w:fill="auto"/>
          <w:lang w:val="en-US" w:eastAsia="en-US" w:bidi="en-US"/>
        </w:rPr>
        <w:t>Vrihat-kath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“great story,” by Kshemendra, also called Kshemankara, who wrote c. 1020-40, under King Ananta, and the </w:t>
      </w:r>
      <w:r>
        <w:rPr>
          <w:rFonts w:ascii="Times New Roman" w:eastAsia="Times New Roman" w:hAnsi="Times New Roman" w:cs="Times New Roman"/>
          <w:i/>
          <w:iCs/>
          <w:color w:val="000000"/>
          <w:spacing w:val="0"/>
          <w:w w:val="100"/>
          <w:position w:val="0"/>
          <w:shd w:val="clear" w:color="auto" w:fill="auto"/>
          <w:lang w:val="en-US" w:eastAsia="en-US" w:bidi="en-US"/>
        </w:rPr>
        <w:t>Kath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-sarit-s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gara, @@5</w:t>
      </w:r>
      <w:r>
        <w:rPr>
          <w:rFonts w:ascii="Times New Roman" w:eastAsia="Times New Roman" w:hAnsi="Times New Roman" w:cs="Times New Roman"/>
          <w:color w:val="000000"/>
          <w:spacing w:val="0"/>
          <w:w w:val="100"/>
          <w:position w:val="0"/>
          <w:shd w:val="clear" w:color="auto" w:fill="auto"/>
          <w:lang w:val="en-US" w:eastAsia="en-US" w:bidi="en-US"/>
        </w:rPr>
        <w:t xml:space="preserve"> or “ the ocean of the streams of story,” composed by Somadeva, in the beginning of the 12th century, to console the mother of King Harshadeva on her son’s death. Both these works are based on a work in the Pais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dialect, of the 6th century, viz., Gun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dhya’s </w:t>
      </w:r>
      <w:r>
        <w:rPr>
          <w:rFonts w:ascii="Times New Roman" w:eastAsia="Times New Roman" w:hAnsi="Times New Roman" w:cs="Times New Roman"/>
          <w:i/>
          <w:iCs/>
          <w:color w:val="000000"/>
          <w:spacing w:val="0"/>
          <w:w w:val="100"/>
          <w:position w:val="0"/>
          <w:shd w:val="clear" w:color="auto" w:fill="auto"/>
          <w:lang w:val="en-US" w:eastAsia="en-US" w:bidi="en-US"/>
        </w:rPr>
        <w:t>Vrihat-kath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higher class prose works of fiction the Sanskrit literature is extremely poor; and the few productions of this kind of which it can boast are of a highly artificial and pedantic character. These include the </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akum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charita, @@6</w:t>
      </w:r>
      <w:r>
        <w:rPr>
          <w:rFonts w:ascii="Times New Roman" w:eastAsia="Times New Roman" w:hAnsi="Times New Roman" w:cs="Times New Roman"/>
          <w:color w:val="000000"/>
          <w:spacing w:val="0"/>
          <w:w w:val="100"/>
          <w:position w:val="0"/>
          <w:shd w:val="clear" w:color="auto" w:fill="auto"/>
          <w:lang w:val="en-US" w:eastAsia="en-US" w:bidi="en-US"/>
        </w:rPr>
        <w:t xml:space="preserve"> or “ the adventures of the ten princes,” composed by Dandin, about the 6th century, and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savadatt</w:t>
      </w:r>
      <w:r>
        <w:rPr>
          <w:rFonts w:ascii="Times New Roman" w:eastAsia="Times New Roman" w:hAnsi="Times New Roman" w:cs="Times New Roman"/>
          <w:i/>
          <w:iCs/>
          <w:color w:val="000000"/>
          <w:spacing w:val="0"/>
          <w:w w:val="100"/>
          <w:position w:val="0"/>
          <w:shd w:val="clear" w:color="auto" w:fill="auto"/>
          <w:lang w:val="en-US" w:eastAsia="en-US" w:bidi="en-US"/>
        </w:rPr>
        <w:t>â, @@7</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Subandhu, the contemporary of the poet Bana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620), who himself wrote the first part of a novel,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dambar</w:t>
      </w:r>
      <w:r>
        <w:rPr>
          <w:rFonts w:ascii="Times New Roman" w:eastAsia="Times New Roman" w:hAnsi="Times New Roman" w:cs="Times New Roman"/>
          <w:i/>
          <w:iCs/>
          <w:color w:val="000000"/>
          <w:spacing w:val="0"/>
          <w:w w:val="100"/>
          <w:position w:val="0"/>
          <w:shd w:val="clear" w:color="auto" w:fill="auto"/>
          <w:lang w:val="en-US" w:eastAsia="en-US" w:bidi="en-US"/>
        </w:rPr>
        <w:t>î, @@8</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afterwards completed by his son.</w:t>
      </w:r>
    </w:p>
    <w:p>
      <w:pPr>
        <w:pStyle w:val="Style13"/>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 SCIENTIFIC LITERATURE.</w:t>
      </w:r>
    </w:p>
    <w:p>
      <w:pPr>
        <w:pStyle w:val="Style1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(Dharma).—</w:t>
      </w:r>
      <w:r>
        <w:rPr>
          <w:rFonts w:ascii="Times New Roman" w:eastAsia="Times New Roman" w:hAnsi="Times New Roman" w:cs="Times New Roman"/>
          <w:color w:val="000000"/>
          <w:spacing w:val="0"/>
          <w:w w:val="100"/>
          <w:position w:val="0"/>
          <w:shd w:val="clear" w:color="auto" w:fill="auto"/>
          <w:lang w:val="en-US" w:eastAsia="en-US" w:bidi="en-US"/>
        </w:rPr>
        <w:t>Among the technical treatises of the later Vedic period, certain portions of the Kalpa-s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or manuals of ceremonial, peculiar to particular schools, were referred to as the earliest attempts at a systematic treatment of law subjects. These are the </w:t>
      </w:r>
      <w:r>
        <w:rPr>
          <w:rFonts w:ascii="Times New Roman" w:eastAsia="Times New Roman" w:hAnsi="Times New Roman" w:cs="Times New Roman"/>
          <w:i/>
          <w:iCs/>
          <w:color w:val="000000"/>
          <w:spacing w:val="0"/>
          <w:w w:val="100"/>
          <w:position w:val="0"/>
          <w:shd w:val="clear" w:color="auto" w:fill="auto"/>
          <w:lang w:val="en-US" w:eastAsia="en-US" w:bidi="en-US"/>
        </w:rPr>
        <w:t>Dharma-s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or “rules of (religious) law,” also called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rika-s</w:t>
      </w:r>
      <w:r>
        <w:rPr>
          <w:rFonts w:ascii="Times New Roman" w:eastAsia="Times New Roman" w:hAnsi="Times New Roman" w:cs="Times New Roman"/>
          <w:i/>
          <w:iCs/>
          <w:color w:val="000000"/>
          <w:spacing w:val="0"/>
          <w:w w:val="100"/>
          <w:position w:val="0"/>
          <w:shd w:val="clear" w:color="auto" w:fill="auto"/>
          <w:lang w:val="en-US" w:eastAsia="en-US" w:bidi="en-US"/>
        </w:rPr>
        <w:t>ût</w:t>
      </w:r>
      <w:r>
        <w:rPr>
          <w:rFonts w:ascii="Times New Roman" w:eastAsia="Times New Roman" w:hAnsi="Times New Roman" w:cs="Times New Roman"/>
          <w:i/>
          <w:iCs/>
          <w:color w:val="000000"/>
          <w:spacing w:val="0"/>
          <w:w w:val="100"/>
          <w:position w:val="0"/>
          <w:shd w:val="clear" w:color="auto" w:fill="auto"/>
          <w:lang w:val="en-US" w:eastAsia="en-US" w:bidi="en-US"/>
        </w:rPr>
        <w:t>ras,</w:t>
      </w:r>
      <w:r>
        <w:rPr>
          <w:rFonts w:ascii="Times New Roman" w:eastAsia="Times New Roman" w:hAnsi="Times New Roman" w:cs="Times New Roman"/>
          <w:color w:val="000000"/>
          <w:spacing w:val="0"/>
          <w:w w:val="100"/>
          <w:position w:val="0"/>
          <w:shd w:val="clear" w:color="auto" w:fill="auto"/>
          <w:lang w:val="en-US" w:eastAsia="en-US" w:bidi="en-US"/>
        </w:rPr>
        <w:t xml:space="preserve"> or “rules of conventional usage (samaya- achara). ” It is doubtful whether such treatises were at any time quite as numerous as the Grihyasutras, or rules of domestic or family rites, to which they are closely allied, and of which indeed they may originally have been an outgrowth. That the number of those actually extant is comparatively small is, however, chiefly due to the fact that this class of works was supplanted by another of a more popular kind, which covered the same ground. The Dharmasutras consist chiefly of strings of terse rules, containing the essentials of the science, and intended to be committed to memory, and to be expounded orally by the teacher—thus forming, as it were, epitomes of class lectures. These rules are interspersed with couplets or “gathas,” in various metres, either composed by the author himself or quoted from elsewhere, which generally give the substance of the preceding rules. One can well understand why such couplets should gradually have become more popular, and</w:t>
      </w:r>
    </w:p>
    <w:p>
      <w:pPr>
        <w:pStyle w:val="Style16"/>
        <w:keepNext w:val="0"/>
        <w:keepLines w:val="0"/>
        <w:widowControl w:val="0"/>
        <w:shd w:val="clear" w:color="auto" w:fill="auto"/>
        <w:tabs>
          <w:tab w:pos="284"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first Sanskrit book published (by Sir W. Jones), 1792. Text and Latin transl. by P. v. Bohlen. Partly transl., in verse, by R. T. H. Griffith,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Specimens of Old Indian Poetry.</w:t>
      </w:r>
    </w:p>
    <w:p>
      <w:pPr>
        <w:pStyle w:val="Style16"/>
        <w:keepNext w:val="0"/>
        <w:keepLines w:val="0"/>
        <w:widowControl w:val="0"/>
        <w:shd w:val="clear" w:color="auto" w:fill="auto"/>
        <w:tabs>
          <w:tab w:pos="350"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by Rajendralala Mitra,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p>
    <w:p>
      <w:pPr>
        <w:pStyle w:val="Style13"/>
        <w:keepNext w:val="0"/>
        <w:keepLines w:val="0"/>
        <w:widowControl w:val="0"/>
        <w:shd w:val="clear" w:color="auto" w:fill="auto"/>
        <w:tabs>
          <w:tab w:pos="281"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Kosegarten, G. Buhler, and F. Kielhorn; transl. by Th. Benfey, E. Lancereau, L. Fritze.</w:t>
      </w:r>
    </w:p>
    <w:p>
      <w:pPr>
        <w:pStyle w:val="Style13"/>
        <w:keepNext w:val="0"/>
        <w:keepLines w:val="0"/>
        <w:widowControl w:val="0"/>
        <w:shd w:val="clear" w:color="auto" w:fill="auto"/>
        <w:tabs>
          <w:tab w:pos="30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and transl. by F. Johnson.</w:t>
      </w:r>
    </w:p>
    <w:p>
      <w:pPr>
        <w:pStyle w:val="Style13"/>
        <w:keepNext w:val="0"/>
        <w:keepLines w:val="0"/>
        <w:widowControl w:val="0"/>
        <w:shd w:val="clear" w:color="auto" w:fill="auto"/>
        <w:tabs>
          <w:tab w:pos="31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II. Brockhaus ; transl. by C. H. Tawney.</w:t>
      </w:r>
    </w:p>
    <w:p>
      <w:pPr>
        <w:pStyle w:val="Style13"/>
        <w:keepNext w:val="0"/>
        <w:keepLines w:val="0"/>
        <w:widowControl w:val="0"/>
        <w:shd w:val="clear" w:color="auto" w:fill="auto"/>
        <w:tabs>
          <w:tab w:pos="31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H. H. Wilson ; freely translated by P. W. Jacob.</w:t>
      </w:r>
    </w:p>
    <w:p>
      <w:pPr>
        <w:pStyle w:val="Style13"/>
        <w:keepNext w:val="0"/>
        <w:keepLines w:val="0"/>
        <w:widowControl w:val="0"/>
        <w:shd w:val="clear" w:color="auto" w:fill="auto"/>
        <w:tabs>
          <w:tab w:pos="31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by F. Hall,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p>
    <w:p>
      <w:pPr>
        <w:pStyle w:val="Style13"/>
        <w:keepNext w:val="0"/>
        <w:keepLines w:val="0"/>
        <w:widowControl w:val="0"/>
        <w:shd w:val="clear" w:color="auto" w:fill="auto"/>
        <w:tabs>
          <w:tab w:pos="31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Madana Mohana Sarman, and by P. Peterson.</w:t>
      </w:r>
    </w:p>
    <w:p>
      <w:pPr>
        <w:widowControl w:val="0"/>
        <w:spacing w:line="1" w:lineRule="exact"/>
      </w:pPr>
    </w:p>
    <w:sectPr>
      <w:footnotePr>
        <w:pos w:val="pageBottom"/>
        <w:numFmt w:val="decimal"/>
        <w:numRestart w:val="continuous"/>
      </w:footnotePr>
      <w:type w:val="continuous"/>
      <w:pgSz w:w="12240" w:h="16840"/>
      <w:pgMar w:top="1878" w:left="1465" w:right="1281" w:bottom="11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4">
    <w:name w:val="Body text (5)_"/>
    <w:basedOn w:val="DefaultParagraphFont"/>
    <w:link w:val="Style13"/>
    <w:rPr>
      <w:b w:val="0"/>
      <w:bCs w:val="0"/>
      <w:i w:val="0"/>
      <w:iCs w:val="0"/>
      <w:smallCaps w:val="0"/>
      <w:strike w:val="0"/>
      <w:sz w:val="13"/>
      <w:szCs w:val="13"/>
      <w:u w:val="none"/>
    </w:rPr>
  </w:style>
  <w:style w:type="character" w:customStyle="1" w:styleId="CharStyle17">
    <w:name w:val="Body text (2)_"/>
    <w:basedOn w:val="DefaultParagraphFont"/>
    <w:link w:val="Style1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3">
    <w:name w:val="Body text (5)"/>
    <w:basedOn w:val="Normal"/>
    <w:link w:val="CharStyle14"/>
    <w:pPr>
      <w:widowControl w:val="0"/>
      <w:shd w:val="clear" w:color="auto" w:fill="FFFFFF"/>
      <w:spacing w:line="192" w:lineRule="auto"/>
      <w:ind w:firstLine="240"/>
      <w:jc w:val="both"/>
    </w:pPr>
    <w:rPr>
      <w:b w:val="0"/>
      <w:bCs w:val="0"/>
      <w:i w:val="0"/>
      <w:iCs w:val="0"/>
      <w:smallCaps w:val="0"/>
      <w:strike w:val="0"/>
      <w:sz w:val="13"/>
      <w:szCs w:val="13"/>
      <w:u w:val="none"/>
    </w:rPr>
  </w:style>
  <w:style w:type="paragraph" w:customStyle="1" w:styleId="Style16">
    <w:name w:val="Body text (2)"/>
    <w:basedOn w:val="Normal"/>
    <w:link w:val="CharStyle1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