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 practical system of arrangement—the principal heads under which the grammatical matter was distributed usually being— rules of euphony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(sandhi) ; </w:t>
      </w:r>
      <w:r>
        <w:rPr>
          <w:rFonts w:ascii="Times New Roman" w:eastAsia="Times New Roman" w:hAnsi="Times New Roman" w:cs="Times New Roman"/>
          <w:color w:val="000000"/>
          <w:spacing w:val="0"/>
          <w:w w:val="100"/>
          <w:position w:val="0"/>
          <w:shd w:val="clear" w:color="auto" w:fill="auto"/>
          <w:lang w:val="en-US" w:eastAsia="en-US" w:bidi="en-US"/>
        </w:rPr>
        <w:t xml:space="preserve">inflexion of nouns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man),</w:t>
      </w:r>
      <w:r>
        <w:rPr>
          <w:rFonts w:ascii="Times New Roman" w:eastAsia="Times New Roman" w:hAnsi="Times New Roman" w:cs="Times New Roman"/>
          <w:color w:val="000000"/>
          <w:spacing w:val="0"/>
          <w:w w:val="100"/>
          <w:position w:val="0"/>
          <w:shd w:val="clear" w:color="auto" w:fill="auto"/>
          <w:lang w:val="en-US" w:eastAsia="en-US" w:bidi="en-US"/>
        </w:rPr>
        <w:t xml:space="preserve"> gene</w:t>
        <w:softHyphen/>
        <w:t xml:space="preserve">rally including composition and secondary derivatives ; the verb </w:t>
      </w:r>
      <w:r>
        <w:rPr>
          <w:rFonts w:ascii="Times New Roman" w:eastAsia="Times New Roman" w:hAnsi="Times New Roman" w:cs="Times New Roman"/>
          <w:i/>
          <w:iCs/>
          <w:color w:val="000000"/>
          <w:spacing w:val="0"/>
          <w:w w:val="100"/>
          <w:position w:val="0"/>
          <w:shd w:val="clear" w:color="auto" w:fill="auto"/>
          <w:lang w:val="fr-FR" w:eastAsia="fr-FR" w:bidi="fr-FR"/>
        </w:rPr>
        <w:t xml:space="preserve">(âkhyâta)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primary </w:t>
      </w:r>
      <w:r>
        <w:rPr>
          <w:rFonts w:ascii="Times New Roman" w:eastAsia="Times New Roman" w:hAnsi="Times New Roman" w:cs="Times New Roman"/>
          <w:i/>
          <w:iCs/>
          <w:color w:val="000000"/>
          <w:spacing w:val="0"/>
          <w:w w:val="100"/>
          <w:position w:val="0"/>
          <w:shd w:val="clear" w:color="auto" w:fill="auto"/>
          <w:lang w:val="en-US" w:eastAsia="en-US" w:bidi="en-US"/>
        </w:rPr>
        <w:t>(krid-anta)</w:t>
      </w:r>
      <w:r>
        <w:rPr>
          <w:rFonts w:ascii="Times New Roman" w:eastAsia="Times New Roman" w:hAnsi="Times New Roman" w:cs="Times New Roman"/>
          <w:color w:val="000000"/>
          <w:spacing w:val="0"/>
          <w:w w:val="100"/>
          <w:position w:val="0"/>
          <w:shd w:val="clear" w:color="auto" w:fill="auto"/>
          <w:lang w:val="en-US" w:eastAsia="en-US" w:bidi="en-US"/>
        </w:rPr>
        <w:t xml:space="preserve"> derivatives. In this way a number of grammatical schools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sprang up at different times, each recognizing a special set of Sutras, round which gradually gathered a more or less numerous body of commentatorial and subsidiary treatises. As regards the grammatical material itself, these later grammars supply comparatively little that is not already contained in the older works,—the difference being mainly one of method, and partly of terminology, including modifications of the system of technical letters </w:t>
      </w:r>
      <w:r>
        <w:rPr>
          <w:rFonts w:ascii="Times New Roman" w:eastAsia="Times New Roman" w:hAnsi="Times New Roman" w:cs="Times New Roman"/>
          <w:i/>
          <w:iCs/>
          <w:color w:val="000000"/>
          <w:spacing w:val="0"/>
          <w:w w:val="100"/>
          <w:position w:val="0"/>
          <w:shd w:val="clear" w:color="auto" w:fill="auto"/>
          <w:lang w:val="en-US" w:eastAsia="en-US" w:bidi="en-US"/>
        </w:rPr>
        <w:t>(anubandha).</w:t>
      </w:r>
      <w:r>
        <w:rPr>
          <w:rFonts w:ascii="Times New Roman" w:eastAsia="Times New Roman" w:hAnsi="Times New Roman" w:cs="Times New Roman"/>
          <w:color w:val="000000"/>
          <w:spacing w:val="0"/>
          <w:w w:val="100"/>
          <w:position w:val="0"/>
          <w:shd w:val="clear" w:color="auto" w:fill="auto"/>
          <w:lang w:val="en-US" w:eastAsia="en-US" w:bidi="en-US"/>
        </w:rPr>
        <w:t xml:space="preserve"> 0f the grammars of this descrip</w:t>
        <w:softHyphen/>
        <w:t xml:space="preserve">tion hitherto known the </w:t>
      </w:r>
      <w:r>
        <w:rPr>
          <w:rFonts w:ascii="Times New Roman" w:eastAsia="Times New Roman" w:hAnsi="Times New Roman" w:cs="Times New Roman"/>
          <w:i/>
          <w:iCs/>
          <w:color w:val="000000"/>
          <w:spacing w:val="0"/>
          <w:w w:val="100"/>
          <w:position w:val="0"/>
          <w:shd w:val="clear" w:color="auto" w:fill="auto"/>
          <w:lang w:val="en-US" w:eastAsia="en-US" w:bidi="en-US"/>
        </w:rPr>
        <w:t>Ch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indra-vy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karana</w:t>
      </w:r>
      <w:r>
        <w:rPr>
          <w:rFonts w:ascii="Times New Roman" w:eastAsia="Times New Roman" w:hAnsi="Times New Roman" w:cs="Times New Roman"/>
          <w:color w:val="000000"/>
          <w:spacing w:val="0"/>
          <w:w w:val="100"/>
          <w:position w:val="0"/>
          <w:shd w:val="clear" w:color="auto" w:fill="auto"/>
          <w:lang w:val="en-US" w:eastAsia="en-US" w:bidi="en-US"/>
        </w:rPr>
        <w:t xml:space="preserve"> is probably the oldest,—its author Chandra </w:t>
      </w:r>
      <w:r>
        <w:rPr>
          <w:rFonts w:ascii="Times New Roman" w:eastAsia="Times New Roman" w:hAnsi="Times New Roman" w:cs="Times New Roman"/>
          <w:color w:val="000000"/>
          <w:spacing w:val="0"/>
          <w:w w:val="100"/>
          <w:position w:val="0"/>
          <w:shd w:val="clear" w:color="auto" w:fill="auto"/>
          <w:lang w:val="fr-FR" w:eastAsia="fr-FR" w:bidi="fr-FR"/>
        </w:rPr>
        <w:t xml:space="preserve">Âchârya </w:t>
      </w:r>
      <w:r>
        <w:rPr>
          <w:rFonts w:ascii="Times New Roman" w:eastAsia="Times New Roman" w:hAnsi="Times New Roman" w:cs="Times New Roman"/>
          <w:color w:val="000000"/>
          <w:spacing w:val="0"/>
          <w:w w:val="100"/>
          <w:position w:val="0"/>
          <w:shd w:val="clear" w:color="auto" w:fill="auto"/>
          <w:lang w:val="en-US" w:eastAsia="en-US" w:bidi="en-US"/>
        </w:rPr>
        <w:t>having flourished under King Abhimanyu of Kashmir, who is usually supposed to have lived towards the end of the 2d century,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in whose reign that grammarian is stated, along with others, to have revived the study of the </w:t>
      </w:r>
      <w:r>
        <w:rPr>
          <w:rFonts w:ascii="Times New Roman" w:eastAsia="Times New Roman" w:hAnsi="Times New Roman" w:cs="Times New Roman"/>
          <w:color w:val="000000"/>
          <w:spacing w:val="0"/>
          <w:w w:val="100"/>
          <w:position w:val="0"/>
          <w:shd w:val="clear" w:color="auto" w:fill="auto"/>
          <w:lang w:val="fr-FR" w:eastAsia="fr-FR" w:bidi="fr-FR"/>
        </w:rPr>
        <w:t xml:space="preserve">Mahâbhâshya </w:t>
      </w:r>
      <w:r>
        <w:rPr>
          <w:rFonts w:ascii="Times New Roman" w:eastAsia="Times New Roman" w:hAnsi="Times New Roman" w:cs="Times New Roman"/>
          <w:color w:val="000000"/>
          <w:spacing w:val="0"/>
          <w:w w:val="100"/>
          <w:position w:val="0"/>
          <w:shd w:val="clear" w:color="auto" w:fill="auto"/>
          <w:lang w:val="en-US" w:eastAsia="en-US" w:bidi="en-US"/>
        </w:rPr>
        <w:t xml:space="preserve">in Kashmir. Only portions of this grammar, with a commentary by </w:t>
      </w:r>
      <w:r>
        <w:rPr>
          <w:rFonts w:ascii="Times New Roman" w:eastAsia="Times New Roman" w:hAnsi="Times New Roman" w:cs="Times New Roman"/>
          <w:color w:val="000000"/>
          <w:spacing w:val="0"/>
          <w:w w:val="100"/>
          <w:position w:val="0"/>
          <w:shd w:val="clear" w:color="auto" w:fill="auto"/>
          <w:lang w:val="fr-FR" w:eastAsia="fr-FR" w:bidi="fr-FR"/>
        </w:rPr>
        <w:t xml:space="preserve">Ânandadatta, </w:t>
      </w:r>
      <w:r>
        <w:rPr>
          <w:rFonts w:ascii="Times New Roman" w:eastAsia="Times New Roman" w:hAnsi="Times New Roman" w:cs="Times New Roman"/>
          <w:color w:val="000000"/>
          <w:spacing w:val="0"/>
          <w:w w:val="100"/>
          <w:position w:val="0"/>
          <w:shd w:val="clear" w:color="auto" w:fill="auto"/>
          <w:lang w:val="en-US" w:eastAsia="en-US" w:bidi="en-US"/>
        </w:rPr>
        <w:t>have as yet been recovered.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Kâtantra,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3</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Kâlâpa,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ascribed to </w:t>
      </w:r>
      <w:r>
        <w:rPr>
          <w:rFonts w:ascii="Times New Roman" w:eastAsia="Times New Roman" w:hAnsi="Times New Roman" w:cs="Times New Roman"/>
          <w:color w:val="000000"/>
          <w:spacing w:val="0"/>
          <w:w w:val="100"/>
          <w:position w:val="0"/>
          <w:shd w:val="clear" w:color="auto" w:fill="auto"/>
          <w:lang w:val="fr-FR" w:eastAsia="fr-FR" w:bidi="fr-FR"/>
        </w:rPr>
        <w:t xml:space="preserve">Kumâra, </w:t>
      </w:r>
      <w:r>
        <w:rPr>
          <w:rFonts w:ascii="Times New Roman" w:eastAsia="Times New Roman" w:hAnsi="Times New Roman" w:cs="Times New Roman"/>
          <w:color w:val="000000"/>
          <w:spacing w:val="0"/>
          <w:w w:val="100"/>
          <w:position w:val="0"/>
          <w:shd w:val="clear" w:color="auto" w:fill="auto"/>
          <w:lang w:val="en-US" w:eastAsia="en-US" w:bidi="en-US"/>
        </w:rPr>
        <w:t xml:space="preserve">the god of war, whence this school is also sometimes called </w:t>
      </w:r>
      <w:r>
        <w:rPr>
          <w:rFonts w:ascii="Times New Roman" w:eastAsia="Times New Roman" w:hAnsi="Times New Roman" w:cs="Times New Roman"/>
          <w:i/>
          <w:iCs/>
          <w:color w:val="000000"/>
          <w:spacing w:val="0"/>
          <w:w w:val="100"/>
          <w:position w:val="0"/>
          <w:shd w:val="clear" w:color="auto" w:fill="auto"/>
          <w:lang w:val="en-US" w:eastAsia="en-US" w:bidi="en-US"/>
        </w:rPr>
        <w:t>Kaum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The real author probably was Sarva-varman, who also wrote the original commentary </w:t>
      </w:r>
      <w:r>
        <w:rPr>
          <w:rFonts w:ascii="Times New Roman" w:eastAsia="Times New Roman" w:hAnsi="Times New Roman" w:cs="Times New Roman"/>
          <w:i/>
          <w:iCs/>
          <w:color w:val="000000"/>
          <w:spacing w:val="0"/>
          <w:w w:val="100"/>
          <w:position w:val="0"/>
          <w:shd w:val="clear" w:color="auto" w:fill="auto"/>
          <w:lang w:val="en-US" w:eastAsia="en-US" w:bidi="en-US"/>
        </w:rPr>
        <w:t>(vritti),</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afterwards recast by Durgasimha, and again commented upon by the same writer, and subsequently by </w:t>
      </w:r>
      <w:r>
        <w:rPr>
          <w:rFonts w:ascii="Times New Roman" w:eastAsia="Times New Roman" w:hAnsi="Times New Roman" w:cs="Times New Roman"/>
          <w:color w:val="000000"/>
          <w:spacing w:val="0"/>
          <w:w w:val="100"/>
          <w:position w:val="0"/>
          <w:shd w:val="clear" w:color="auto" w:fill="auto"/>
          <w:lang w:val="fr-FR" w:eastAsia="fr-FR" w:bidi="fr-FR"/>
        </w:rPr>
        <w:t xml:space="preserve">Trilochana-dâsa. </w:t>
      </w:r>
      <w:r>
        <w:rPr>
          <w:rFonts w:ascii="Times New Roman" w:eastAsia="Times New Roman" w:hAnsi="Times New Roman" w:cs="Times New Roman"/>
          <w:color w:val="000000"/>
          <w:spacing w:val="0"/>
          <w:w w:val="100"/>
          <w:position w:val="0"/>
          <w:shd w:val="clear" w:color="auto" w:fill="auto"/>
          <w:lang w:val="en-US" w:eastAsia="en-US" w:bidi="en-US"/>
        </w:rPr>
        <w:t xml:space="preserve">The date of the </w:t>
      </w:r>
      <w:r>
        <w:rPr>
          <w:rFonts w:ascii="Times New Roman" w:eastAsia="Times New Roman" w:hAnsi="Times New Roman" w:cs="Times New Roman"/>
          <w:color w:val="000000"/>
          <w:spacing w:val="0"/>
          <w:w w:val="100"/>
          <w:position w:val="0"/>
          <w:shd w:val="clear" w:color="auto" w:fill="auto"/>
          <w:lang w:val="fr-FR" w:eastAsia="fr-FR" w:bidi="fr-FR"/>
        </w:rPr>
        <w:t xml:space="preserve">Kâtantra </w:t>
      </w:r>
      <w:r>
        <w:rPr>
          <w:rFonts w:ascii="Times New Roman" w:eastAsia="Times New Roman" w:hAnsi="Times New Roman" w:cs="Times New Roman"/>
          <w:color w:val="000000"/>
          <w:spacing w:val="0"/>
          <w:w w:val="100"/>
          <w:position w:val="0"/>
          <w:shd w:val="clear" w:color="auto" w:fill="auto"/>
          <w:lang w:val="en-US" w:eastAsia="en-US" w:bidi="en-US"/>
        </w:rPr>
        <w:t xml:space="preserve">is unknown, but it will probably have to be assigned to about the 6th or 7th century. It is still used in many parts of India, especially in Bengal and Kashmir. Other grammars are—the </w:t>
      </w:r>
      <w:r>
        <w:rPr>
          <w:rFonts w:ascii="Times New Roman" w:eastAsia="Times New Roman" w:hAnsi="Times New Roman" w:cs="Times New Roman"/>
          <w:i/>
          <w:iCs/>
          <w:color w:val="000000"/>
          <w:spacing w:val="0"/>
          <w:w w:val="100"/>
          <w:position w:val="0"/>
          <w:shd w:val="clear" w:color="auto" w:fill="auto"/>
          <w:lang w:val="fr-FR" w:eastAsia="fr-FR" w:bidi="fr-FR"/>
        </w:rPr>
        <w:t>Sârasvat</w:t>
      </w:r>
      <w:r>
        <w:rPr>
          <w:rFonts w:ascii="Times New Roman" w:eastAsia="Times New Roman" w:hAnsi="Times New Roman" w:cs="Times New Roman"/>
          <w:i/>
          <w:iCs/>
          <w:color w:val="000000"/>
          <w:spacing w:val="0"/>
          <w:w w:val="100"/>
          <w:position w:val="0"/>
          <w:shd w:val="clear" w:color="auto" w:fill="auto"/>
          <w:lang w:val="fr-FR" w:eastAsia="fr-FR" w:bidi="fr-FR"/>
        </w:rPr>
        <w:t>î</w:t>
      </w:r>
      <w:r>
        <w:rPr>
          <w:rFonts w:ascii="Times New Roman" w:eastAsia="Times New Roman" w:hAnsi="Times New Roman" w:cs="Times New Roman"/>
          <w:i/>
          <w:iCs/>
          <w:color w:val="000000"/>
          <w:spacing w:val="0"/>
          <w:w w:val="100"/>
          <w:position w:val="0"/>
          <w:shd w:val="clear" w:color="auto" w:fill="auto"/>
          <w:lang w:val="fr-FR" w:eastAsia="fr-FR" w:bidi="fr-FR"/>
        </w:rPr>
        <w:t xml:space="preserve"> Prakriyâ,</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Anubhûti Svarûpâchârya </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fr-FR" w:eastAsia="fr-FR" w:bidi="fr-FR"/>
        </w:rPr>
        <w:t>Sankshipta-sâra,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composed by Kramad</w:t>
      </w:r>
      <w:r>
        <w:rPr>
          <w:rFonts w:ascii="Times New Roman" w:eastAsia="Times New Roman" w:hAnsi="Times New Roman" w:cs="Times New Roman"/>
          <w:color w:val="000000"/>
          <w:spacing w:val="0"/>
          <w:w w:val="100"/>
          <w:position w:val="0"/>
          <w:shd w:val="clear" w:color="auto" w:fill="auto"/>
          <w:lang w:val="en-US" w:eastAsia="en-US" w:bidi="en-US"/>
        </w:rPr>
        <w:t>îś</w:t>
      </w:r>
      <w:r>
        <w:rPr>
          <w:rFonts w:ascii="Times New Roman" w:eastAsia="Times New Roman" w:hAnsi="Times New Roman" w:cs="Times New Roman"/>
          <w:color w:val="000000"/>
          <w:spacing w:val="0"/>
          <w:w w:val="100"/>
          <w:position w:val="0"/>
          <w:shd w:val="clear" w:color="auto" w:fill="auto"/>
          <w:lang w:val="en-US" w:eastAsia="en-US" w:bidi="en-US"/>
        </w:rPr>
        <w:t xml:space="preserve">vara, and corrected by Jumara-naijdin, whence it is also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Jaumara ;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Haima-vydkarana, @@4</w:t>
      </w:r>
      <w:r>
        <w:rPr>
          <w:rFonts w:ascii="Times New Roman" w:eastAsia="Times New Roman" w:hAnsi="Times New Roman" w:cs="Times New Roman"/>
          <w:color w:val="000000"/>
          <w:spacing w:val="0"/>
          <w:w w:val="100"/>
          <w:position w:val="0"/>
          <w:shd w:val="clear" w:color="auto" w:fill="auto"/>
          <w:lang w:val="en-US" w:eastAsia="en-US" w:bidi="en-US"/>
        </w:rPr>
        <w:t xml:space="preserve"> by the Jaina writer Hemachandra (1088-1172, according to </w:t>
      </w:r>
      <w:r>
        <w:rPr>
          <w:rFonts w:ascii="Times New Roman" w:eastAsia="Times New Roman" w:hAnsi="Times New Roman" w:cs="Times New Roman"/>
          <w:color w:val="000000"/>
          <w:spacing w:val="0"/>
          <w:w w:val="100"/>
          <w:position w:val="0"/>
          <w:shd w:val="clear" w:color="auto" w:fill="auto"/>
          <w:lang w:val="fr-FR" w:eastAsia="fr-FR" w:bidi="fr-FR"/>
        </w:rPr>
        <w:t xml:space="preserve">Dr Bhâo Dâjî) </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Mugdha-bodha,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composed, in the latter part of the 13th century, by Vopadeva, the court pandit of King </w:t>
      </w:r>
      <w:r>
        <w:rPr>
          <w:rFonts w:ascii="Times New Roman" w:eastAsia="Times New Roman" w:hAnsi="Times New Roman" w:cs="Times New Roman"/>
          <w:color w:val="000000"/>
          <w:spacing w:val="0"/>
          <w:w w:val="100"/>
          <w:position w:val="0"/>
          <w:shd w:val="clear" w:color="auto" w:fill="auto"/>
          <w:lang w:val="fr-FR" w:eastAsia="fr-FR" w:bidi="fr-FR"/>
        </w:rPr>
        <w:t xml:space="preserve">Mahâdeva (Râmarâja) </w:t>
      </w:r>
      <w:r>
        <w:rPr>
          <w:rFonts w:ascii="Times New Roman" w:eastAsia="Times New Roman" w:hAnsi="Times New Roman" w:cs="Times New Roman"/>
          <w:color w:val="000000"/>
          <w:spacing w:val="0"/>
          <w:w w:val="100"/>
          <w:position w:val="0"/>
          <w:shd w:val="clear" w:color="auto" w:fill="auto"/>
          <w:lang w:val="en-US" w:eastAsia="en-US" w:bidi="en-US"/>
        </w:rPr>
        <w:t xml:space="preserve">of Devagiri (or Deoghar) ; the </w:t>
      </w:r>
      <w:r>
        <w:rPr>
          <w:rFonts w:ascii="Times New Roman" w:eastAsia="Times New Roman" w:hAnsi="Times New Roman" w:cs="Times New Roman"/>
          <w:i/>
          <w:iCs/>
          <w:color w:val="000000"/>
          <w:spacing w:val="0"/>
          <w:w w:val="100"/>
          <w:position w:val="0"/>
          <w:shd w:val="clear" w:color="auto" w:fill="auto"/>
          <w:lang w:val="fr-FR" w:eastAsia="fr-FR" w:bidi="fr-FR"/>
        </w:rPr>
        <w:t>Siddhânta-kaumudî,</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favourite text-book of Indian students, by Bhattoji D</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kshita (17th cen- tury) ; and a clever abridgment of it,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Laghu- (Siddhdnta-) </w:t>
      </w:r>
      <w:r>
        <w:rPr>
          <w:rFonts w:ascii="Times New Roman" w:eastAsia="Times New Roman" w:hAnsi="Times New Roman" w:cs="Times New Roman"/>
          <w:i/>
          <w:iCs/>
          <w:color w:val="000000"/>
          <w:spacing w:val="0"/>
          <w:w w:val="100"/>
          <w:position w:val="0"/>
          <w:shd w:val="clear" w:color="auto" w:fill="auto"/>
          <w:lang w:val="fr-FR" w:eastAsia="fr-FR" w:bidi="fr-FR"/>
        </w:rPr>
        <w:t>kaumudî,</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6</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Varadarâja.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subsidiary grammatical treatises remain to be noticed. The </w:t>
      </w:r>
      <w:r>
        <w:rPr>
          <w:rFonts w:ascii="Times New Roman" w:eastAsia="Times New Roman" w:hAnsi="Times New Roman" w:cs="Times New Roman"/>
          <w:i/>
          <w:iCs/>
          <w:color w:val="000000"/>
          <w:spacing w:val="0"/>
          <w:w w:val="100"/>
          <w:position w:val="0"/>
          <w:shd w:val="clear" w:color="auto" w:fill="auto"/>
          <w:lang w:val="fr-FR" w:eastAsia="fr-FR" w:bidi="fr-FR"/>
        </w:rPr>
        <w:t>Paribhâshâs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general maxims of interpretation presupposed by the Sutras. Those handed down as applicable to Panini’s system have been interpreted most ably by </w:t>
      </w:r>
      <w:r>
        <w:rPr>
          <w:rFonts w:ascii="Times New Roman" w:eastAsia="Times New Roman" w:hAnsi="Times New Roman" w:cs="Times New Roman"/>
          <w:color w:val="000000"/>
          <w:spacing w:val="0"/>
          <w:w w:val="100"/>
          <w:position w:val="0"/>
          <w:shd w:val="clear" w:color="auto" w:fill="auto"/>
          <w:lang w:val="fr-FR" w:eastAsia="fr-FR" w:bidi="fr-FR"/>
        </w:rPr>
        <w:t xml:space="preserve">Nâgojîbhatta, </w:t>
      </w: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hd w:val="clear" w:color="auto" w:fill="auto"/>
          <w:lang w:val="fr-FR" w:eastAsia="fr-FR" w:bidi="fr-FR"/>
        </w:rPr>
        <w:t>Paribâshendusekhara.</w:t>
      </w:r>
      <w:r>
        <w:rPr>
          <w:rFonts w:ascii="Times New Roman" w:eastAsia="Times New Roman" w:hAnsi="Times New Roman" w:cs="Times New Roman"/>
          <w:i/>
          <w:iCs/>
          <w:color w:val="000000"/>
          <w:spacing w:val="0"/>
          <w:w w:val="100"/>
          <w:position w:val="0"/>
          <w:shd w:val="clear" w:color="auto" w:fill="auto"/>
          <w:lang w:val="en-US" w:eastAsia="en-US" w:bidi="en-US"/>
        </w:rPr>
        <w:t xml:space="preserve"> @@7</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case of rules applying to whole groups of words, the complete lists </w:t>
      </w:r>
      <w:r>
        <w:rPr>
          <w:rFonts w:ascii="Times New Roman" w:eastAsia="Times New Roman" w:hAnsi="Times New Roman" w:cs="Times New Roman"/>
          <w:i/>
          <w:iCs/>
          <w:color w:val="000000"/>
          <w:spacing w:val="0"/>
          <w:w w:val="100"/>
          <w:position w:val="0"/>
          <w:shd w:val="clear" w:color="auto" w:fill="auto"/>
          <w:lang w:val="en-US" w:eastAsia="en-US" w:bidi="en-US"/>
        </w:rPr>
        <w:t>(gana)</w:t>
      </w:r>
      <w:r>
        <w:rPr>
          <w:rFonts w:ascii="Times New Roman" w:eastAsia="Times New Roman" w:hAnsi="Times New Roman" w:cs="Times New Roman"/>
          <w:color w:val="000000"/>
          <w:spacing w:val="0"/>
          <w:w w:val="100"/>
          <w:position w:val="0"/>
          <w:shd w:val="clear" w:color="auto" w:fill="auto"/>
          <w:lang w:val="en-US" w:eastAsia="en-US" w:bidi="en-US"/>
        </w:rPr>
        <w:t xml:space="preserve"> of these words are given in the </w:t>
      </w:r>
      <w:r>
        <w:rPr>
          <w:rFonts w:ascii="Times New Roman" w:eastAsia="Times New Roman" w:hAnsi="Times New Roman" w:cs="Times New Roman"/>
          <w:i/>
          <w:iCs/>
          <w:color w:val="000000"/>
          <w:spacing w:val="0"/>
          <w:w w:val="100"/>
          <w:position w:val="0"/>
          <w:shd w:val="clear" w:color="auto" w:fill="auto"/>
          <w:lang w:val="en-US" w:eastAsia="en-US" w:bidi="en-US"/>
        </w:rPr>
        <w:t>Ganap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tha,</w:t>
      </w:r>
      <w:r>
        <w:rPr>
          <w:rFonts w:ascii="Times New Roman" w:eastAsia="Times New Roman" w:hAnsi="Times New Roman" w:cs="Times New Roman"/>
          <w:color w:val="000000"/>
          <w:spacing w:val="0"/>
          <w:w w:val="100"/>
          <w:position w:val="0"/>
          <w:shd w:val="clear" w:color="auto" w:fill="auto"/>
          <w:lang w:val="en-US" w:eastAsia="en-US" w:bidi="en-US"/>
        </w:rPr>
        <w:t xml:space="preserve"> and only referred to in the </w:t>
      </w:r>
      <w:r>
        <w:rPr>
          <w:rFonts w:ascii="Times New Roman" w:eastAsia="Times New Roman" w:hAnsi="Times New Roman" w:cs="Times New Roman"/>
          <w:color w:val="000000"/>
          <w:spacing w:val="0"/>
          <w:w w:val="100"/>
          <w:position w:val="0"/>
          <w:shd w:val="clear" w:color="auto" w:fill="auto"/>
          <w:lang w:val="fr-FR" w:eastAsia="fr-FR" w:bidi="fr-FR"/>
        </w:rPr>
        <w:t xml:space="preserve">Sûtras. </w:t>
      </w:r>
      <w:r>
        <w:rPr>
          <w:rFonts w:ascii="Times New Roman" w:eastAsia="Times New Roman" w:hAnsi="Times New Roman" w:cs="Times New Roman"/>
          <w:color w:val="000000"/>
          <w:spacing w:val="0"/>
          <w:w w:val="100"/>
          <w:position w:val="0"/>
          <w:shd w:val="clear" w:color="auto" w:fill="auto"/>
          <w:lang w:val="en-US" w:eastAsia="en-US" w:bidi="en-US"/>
        </w:rPr>
        <w:t xml:space="preserve">Vardha- </w:t>
      </w:r>
      <w:r>
        <w:rPr>
          <w:rFonts w:ascii="Times New Roman" w:eastAsia="Times New Roman" w:hAnsi="Times New Roman" w:cs="Times New Roman"/>
          <w:color w:val="000000"/>
          <w:spacing w:val="0"/>
          <w:w w:val="100"/>
          <w:position w:val="0"/>
          <w:shd w:val="clear" w:color="auto" w:fill="auto"/>
          <w:lang w:val="fr-FR" w:eastAsia="fr-FR" w:bidi="fr-FR"/>
        </w:rPr>
        <w:t xml:space="preserve">mâna’s </w:t>
      </w:r>
      <w:r>
        <w:rPr>
          <w:rFonts w:ascii="Times New Roman" w:eastAsia="Times New Roman" w:hAnsi="Times New Roman" w:cs="Times New Roman"/>
          <w:i/>
          <w:iCs/>
          <w:color w:val="000000"/>
          <w:spacing w:val="0"/>
          <w:w w:val="100"/>
          <w:position w:val="0"/>
          <w:shd w:val="clear" w:color="auto" w:fill="auto"/>
          <w:lang w:val="en-US" w:eastAsia="en-US" w:bidi="en-US"/>
        </w:rPr>
        <w:t>Ganaratna-mahodadhi,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 comparatively modern recension of these lists (1140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is valuable as offering the only available commentary on the Ganas which contain many words of unknown meaning. The </w:t>
      </w:r>
      <w:r>
        <w:rPr>
          <w:rFonts w:ascii="Times New Roman" w:eastAsia="Times New Roman" w:hAnsi="Times New Roman" w:cs="Times New Roman"/>
          <w:i/>
          <w:iCs/>
          <w:color w:val="000000"/>
          <w:spacing w:val="0"/>
          <w:w w:val="100"/>
          <w:position w:val="0"/>
          <w:shd w:val="clear" w:color="auto" w:fill="auto"/>
          <w:lang w:val="en-US" w:eastAsia="en-US" w:bidi="en-US"/>
        </w:rPr>
        <w:t>Dhdtupdtdias</w:t>
      </w:r>
      <w:r>
        <w:rPr>
          <w:rFonts w:ascii="Times New Roman" w:eastAsia="Times New Roman" w:hAnsi="Times New Roman" w:cs="Times New Roman"/>
          <w:color w:val="000000"/>
          <w:spacing w:val="0"/>
          <w:w w:val="100"/>
          <w:position w:val="0"/>
          <w:shd w:val="clear" w:color="auto" w:fill="auto"/>
          <w:lang w:val="en-US" w:eastAsia="en-US" w:bidi="en-US"/>
        </w:rPr>
        <w:t xml:space="preserve"> are complete lists of the roots </w:t>
      </w:r>
      <w:r>
        <w:rPr>
          <w:rFonts w:ascii="Times New Roman" w:eastAsia="Times New Roman" w:hAnsi="Times New Roman" w:cs="Times New Roman"/>
          <w:i/>
          <w:iCs/>
          <w:color w:val="000000"/>
          <w:spacing w:val="0"/>
          <w:w w:val="100"/>
          <w:position w:val="0"/>
          <w:shd w:val="clear" w:color="auto" w:fill="auto"/>
          <w:lang w:val="fr-FR" w:eastAsia="fr-FR" w:bidi="fr-FR"/>
        </w:rPr>
        <w:t>(dhâtu)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language, with their general meanings. The lists handed down under this title,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as arranged by Panini himself, have been com- mented upon, amongst others, by </w:t>
      </w:r>
      <w:r>
        <w:rPr>
          <w:rFonts w:ascii="Times New Roman" w:eastAsia="Times New Roman" w:hAnsi="Times New Roman" w:cs="Times New Roman"/>
          <w:color w:val="000000"/>
          <w:spacing w:val="0"/>
          <w:w w:val="100"/>
          <w:position w:val="0"/>
          <w:shd w:val="clear" w:color="auto" w:fill="auto"/>
          <w:lang w:val="fr-FR" w:eastAsia="fr-FR" w:bidi="fr-FR"/>
        </w:rPr>
        <w:t xml:space="preserve">Mâdhava.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Unâdi-sûtras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rules on the formation of irregular derivatives. The oldest work of this kind, commented upon by Ujjvaladatta,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is by some writers ascribed to </w:t>
      </w:r>
      <w:r>
        <w:rPr>
          <w:rFonts w:ascii="Times New Roman" w:eastAsia="Times New Roman" w:hAnsi="Times New Roman" w:cs="Times New Roman"/>
          <w:color w:val="000000"/>
          <w:spacing w:val="0"/>
          <w:w w:val="100"/>
          <w:position w:val="0"/>
          <w:shd w:val="clear" w:color="auto" w:fill="auto"/>
          <w:lang w:val="fr-FR" w:eastAsia="fr-FR" w:bidi="fr-FR"/>
        </w:rPr>
        <w:t xml:space="preserve">Kâtyâyana </w:t>
      </w:r>
      <w:r>
        <w:rPr>
          <w:rFonts w:ascii="Times New Roman" w:eastAsia="Times New Roman" w:hAnsi="Times New Roman" w:cs="Times New Roman"/>
          <w:color w:val="000000"/>
          <w:spacing w:val="0"/>
          <w:w w:val="100"/>
          <w:position w:val="0"/>
          <w:shd w:val="clear" w:color="auto" w:fill="auto"/>
          <w:lang w:val="en-US" w:eastAsia="en-US" w:bidi="en-US"/>
        </w:rPr>
        <w:t xml:space="preserve">Vararuchi, by others even to </w:t>
      </w:r>
      <w:r>
        <w:rPr>
          <w:rFonts w:ascii="Times New Roman" w:eastAsia="Times New Roman" w:hAnsi="Times New Roman" w:cs="Times New Roman"/>
          <w:color w:val="000000"/>
          <w:spacing w:val="0"/>
          <w:w w:val="100"/>
          <w:position w:val="0"/>
          <w:shd w:val="clear" w:color="auto" w:fill="auto"/>
          <w:lang w:val="fr-FR" w:eastAsia="fr-FR" w:bidi="fr-FR"/>
        </w:rPr>
        <w:t xml:space="preserve">Sâkatâyana. </w:t>
      </w:r>
      <w:r>
        <w:rPr>
          <w:rFonts w:ascii="Times New Roman" w:eastAsia="Times New Roman" w:hAnsi="Times New Roman" w:cs="Times New Roman"/>
          <w:color w:val="000000"/>
          <w:spacing w:val="0"/>
          <w:w w:val="100"/>
          <w:position w:val="0"/>
          <w:shd w:val="clear" w:color="auto" w:fill="auto"/>
          <w:lang w:val="en-US" w:eastAsia="en-US" w:bidi="en-US"/>
        </w:rPr>
        <w:t xml:space="preserve">The oldest known treatise on the philosophy of grammar and syntax is the </w:t>
      </w:r>
      <w:r>
        <w:rPr>
          <w:rFonts w:ascii="Times New Roman" w:eastAsia="Times New Roman" w:hAnsi="Times New Roman" w:cs="Times New Roman"/>
          <w:i/>
          <w:iCs/>
          <w:color w:val="000000"/>
          <w:spacing w:val="0"/>
          <w:w w:val="100"/>
          <w:position w:val="0"/>
          <w:shd w:val="clear" w:color="auto" w:fill="auto"/>
          <w:lang w:val="fr-FR" w:eastAsia="fr-FR" w:bidi="fr-FR"/>
        </w:rPr>
        <w:t>Vâkya-padîya,</w:t>
      </w:r>
      <w:r>
        <w:rPr>
          <w:rFonts w:ascii="Times New Roman" w:eastAsia="Times New Roman" w:hAnsi="Times New Roman" w:cs="Times New Roman"/>
          <w:i/>
          <w:iCs/>
          <w:color w:val="000000"/>
          <w:spacing w:val="0"/>
          <w:w w:val="100"/>
          <w:position w:val="0"/>
          <w:shd w:val="clear" w:color="auto" w:fill="auto"/>
          <w:lang w:val="en-US" w:eastAsia="en-US" w:bidi="en-US"/>
        </w:rPr>
        <w:t xml:space="preserve"> @@11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composed in verse, by Bhartrihari (? 7th century), whence it is also called </w:t>
      </w:r>
      <w:r>
        <w:rPr>
          <w:rFonts w:ascii="Times New Roman" w:eastAsia="Times New Roman" w:hAnsi="Times New Roman" w:cs="Times New Roman"/>
          <w:i/>
          <w:iCs/>
          <w:color w:val="000000"/>
          <w:spacing w:val="0"/>
          <w:w w:val="100"/>
          <w:position w:val="0"/>
          <w:shd w:val="clear" w:color="auto" w:fill="auto"/>
          <w:lang w:val="en-US" w:eastAsia="en-US" w:bidi="en-US"/>
        </w:rPr>
        <w:t>Harik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later works on this subject, the </w:t>
      </w:r>
      <w:r>
        <w:rPr>
          <w:rFonts w:ascii="Times New Roman" w:eastAsia="Times New Roman" w:hAnsi="Times New Roman" w:cs="Times New Roman"/>
          <w:i/>
          <w:iCs/>
          <w:color w:val="000000"/>
          <w:spacing w:val="0"/>
          <w:w w:val="100"/>
          <w:position w:val="0"/>
          <w:shd w:val="clear" w:color="auto" w:fill="auto"/>
          <w:lang w:val="fr-FR" w:eastAsia="fr-FR" w:bidi="fr-FR"/>
        </w:rPr>
        <w:t>Vaiyâkarana-bhûshana,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Konda- bhatta, and the </w:t>
      </w:r>
      <w:r>
        <w:rPr>
          <w:rFonts w:ascii="Times New Roman" w:eastAsia="Times New Roman" w:hAnsi="Times New Roman" w:cs="Times New Roman"/>
          <w:i/>
          <w:iCs/>
          <w:color w:val="000000"/>
          <w:spacing w:val="0"/>
          <w:w w:val="100"/>
          <w:position w:val="0"/>
          <w:shd w:val="clear" w:color="auto" w:fill="auto"/>
          <w:lang w:val="fr-FR" w:eastAsia="fr-FR" w:bidi="fr-FR"/>
        </w:rPr>
        <w:t>Vaiyâkarana-siddtiânta-manjâshâ,</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Nâgojî- </w:t>
      </w:r>
      <w:r>
        <w:rPr>
          <w:rFonts w:ascii="Times New Roman" w:eastAsia="Times New Roman" w:hAnsi="Times New Roman" w:cs="Times New Roman"/>
          <w:color w:val="000000"/>
          <w:spacing w:val="0"/>
          <w:w w:val="100"/>
          <w:position w:val="0"/>
          <w:shd w:val="clear" w:color="auto" w:fill="auto"/>
          <w:lang w:val="en-US" w:eastAsia="en-US" w:bidi="en-US"/>
        </w:rPr>
        <w:t>bhatta, are the most important.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IV. </w:t>
      </w:r>
      <w:r>
        <w:rPr>
          <w:rFonts w:ascii="Times New Roman" w:eastAsia="Times New Roman" w:hAnsi="Times New Roman" w:cs="Times New Roman"/>
          <w:smallCaps/>
          <w:color w:val="000000"/>
          <w:spacing w:val="0"/>
          <w:w w:val="100"/>
          <w:position w:val="0"/>
          <w:shd w:val="clear" w:color="auto" w:fill="auto"/>
          <w:lang w:val="en-US" w:eastAsia="en-US" w:bidi="en-US"/>
        </w:rPr>
        <w:t>Lexicography.</w:t>
      </w:r>
      <w:r>
        <w:rPr>
          <w:rFonts w:ascii="Times New Roman" w:eastAsia="Times New Roman" w:hAnsi="Times New Roman" w:cs="Times New Roman"/>
          <w:color w:val="000000"/>
          <w:spacing w:val="0"/>
          <w:w w:val="100"/>
          <w:position w:val="0"/>
          <w:shd w:val="clear" w:color="auto" w:fill="auto"/>
          <w:lang w:val="en-US" w:eastAsia="en-US" w:bidi="en-US"/>
        </w:rPr>
        <w:t xml:space="preserve">—Sanskrit dictionaries </w:t>
      </w:r>
      <w:r>
        <w:rPr>
          <w:rFonts w:ascii="Times New Roman" w:eastAsia="Times New Roman" w:hAnsi="Times New Roman" w:cs="Times New Roman"/>
          <w:i/>
          <w:iCs/>
          <w:color w:val="000000"/>
          <w:spacing w:val="0"/>
          <w:w w:val="100"/>
          <w:position w:val="0"/>
          <w:shd w:val="clear" w:color="auto" w:fill="auto"/>
          <w:lang w:val="en-US" w:eastAsia="en-US" w:bidi="en-US"/>
        </w:rPr>
        <w:t>(kosha),</w:t>
      </w:r>
      <w:r>
        <w:rPr>
          <w:rFonts w:ascii="Times New Roman" w:eastAsia="Times New Roman" w:hAnsi="Times New Roman" w:cs="Times New Roman"/>
          <w:color w:val="000000"/>
          <w:spacing w:val="0"/>
          <w:w w:val="100"/>
          <w:position w:val="0"/>
          <w:shd w:val="clear" w:color="auto" w:fill="auto"/>
          <w:lang w:val="en-US" w:eastAsia="en-US" w:bidi="en-US"/>
        </w:rPr>
        <w:t xml:space="preserve"> invariably composed in verse, are either homonymous or synonymous, or partly the one and partly the other. Of those hitherto published, </w:t>
      </w:r>
      <w:r>
        <w:rPr>
          <w:rFonts w:ascii="Times New Roman" w:eastAsia="Times New Roman" w:hAnsi="Times New Roman" w:cs="Times New Roman"/>
          <w:color w:val="000000"/>
          <w:spacing w:val="0"/>
          <w:w w:val="100"/>
          <w:position w:val="0"/>
          <w:shd w:val="clear" w:color="auto" w:fill="auto"/>
          <w:lang w:val="fr-FR" w:eastAsia="fr-FR" w:bidi="fr-FR"/>
        </w:rPr>
        <w:t xml:space="preserve">Sâsvata’s </w:t>
      </w:r>
      <w:r>
        <w:rPr>
          <w:rFonts w:ascii="Times New Roman" w:eastAsia="Times New Roman" w:hAnsi="Times New Roman" w:cs="Times New Roman"/>
          <w:i/>
          <w:iCs/>
          <w:color w:val="000000"/>
          <w:spacing w:val="0"/>
          <w:w w:val="100"/>
          <w:position w:val="0"/>
          <w:shd w:val="clear" w:color="auto" w:fill="auto"/>
          <w:lang w:val="fr-FR" w:eastAsia="fr-FR" w:bidi="fr-FR"/>
        </w:rPr>
        <w:t>Anekârtha-samuchchaya,</w:t>
      </w:r>
      <w:r>
        <w:rPr>
          <w:rFonts w:ascii="Times New Roman" w:eastAsia="Times New Roman" w:hAnsi="Times New Roman" w:cs="Times New Roman"/>
          <w:i/>
          <w:iCs/>
          <w:color w:val="000000"/>
          <w:spacing w:val="0"/>
          <w:w w:val="100"/>
          <w:position w:val="0"/>
          <w:shd w:val="clear" w:color="auto" w:fill="auto"/>
          <w:lang w:val="en-US" w:eastAsia="en-US" w:bidi="en-US"/>
        </w:rPr>
        <w:t xml:space="preserve"> @@12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 collection of homonyms,” is probably the oldest. While in the later homonymic vocabu- laries the words are usually arranged according to the alphabetical order of the final (or sometimes the initial) letter, and then accord- ing to the number of syllables, </w:t>
      </w:r>
      <w:r>
        <w:rPr>
          <w:rFonts w:ascii="Times New Roman" w:eastAsia="Times New Roman" w:hAnsi="Times New Roman" w:cs="Times New Roman"/>
          <w:color w:val="000000"/>
          <w:spacing w:val="0"/>
          <w:w w:val="100"/>
          <w:position w:val="0"/>
          <w:shd w:val="clear" w:color="auto" w:fill="auto"/>
          <w:lang w:val="fr-FR" w:eastAsia="fr-FR" w:bidi="fr-FR"/>
        </w:rPr>
        <w:t xml:space="preserve">Sâsvata’s </w:t>
      </w:r>
      <w:r>
        <w:rPr>
          <w:rFonts w:ascii="Times New Roman" w:eastAsia="Times New Roman" w:hAnsi="Times New Roman" w:cs="Times New Roman"/>
          <w:color w:val="000000"/>
          <w:spacing w:val="0"/>
          <w:w w:val="100"/>
          <w:position w:val="0"/>
          <w:shd w:val="clear" w:color="auto" w:fill="auto"/>
          <w:lang w:val="en-US" w:eastAsia="en-US" w:bidi="en-US"/>
        </w:rPr>
        <w:t xml:space="preserve">principle of arrangement —viz., the number of meanings assignable to a word—seems to be more primitive. The work probably next in time is the famous </w:t>
      </w:r>
      <w:r>
        <w:rPr>
          <w:rFonts w:ascii="Times New Roman" w:eastAsia="Times New Roman" w:hAnsi="Times New Roman" w:cs="Times New Roman"/>
          <w:i/>
          <w:iCs/>
          <w:color w:val="000000"/>
          <w:spacing w:val="0"/>
          <w:w w:val="100"/>
          <w:position w:val="0"/>
          <w:shd w:val="clear" w:color="auto" w:fill="auto"/>
          <w:lang w:val="en-US" w:eastAsia="en-US" w:bidi="en-US"/>
        </w:rPr>
        <w:t>Amara-kosha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(“immortal treasury”) by Amara-simha, one of “the nine gems” at the court of King </w:t>
      </w:r>
      <w:r>
        <w:rPr>
          <w:rFonts w:ascii="Times New Roman" w:eastAsia="Times New Roman" w:hAnsi="Times New Roman" w:cs="Times New Roman"/>
          <w:color w:val="000000"/>
          <w:spacing w:val="0"/>
          <w:w w:val="100"/>
          <w:position w:val="0"/>
          <w:shd w:val="clear" w:color="auto" w:fill="auto"/>
          <w:lang w:val="fr-FR" w:eastAsia="fr-FR" w:bidi="fr-FR"/>
        </w:rPr>
        <w:t xml:space="preserve">Vikramâditya </w:t>
      </w:r>
      <w:r>
        <w:rPr>
          <w:rFonts w:ascii="Times New Roman" w:eastAsia="Times New Roman" w:hAnsi="Times New Roman" w:cs="Times New Roman"/>
          <w:color w:val="000000"/>
          <w:spacing w:val="0"/>
          <w:w w:val="100"/>
          <w:position w:val="0"/>
          <w:shd w:val="clear" w:color="auto" w:fill="auto"/>
          <w:lang w:val="en-US" w:eastAsia="en-US" w:bidi="en-US"/>
        </w:rPr>
        <w:t xml:space="preserve">(c. 550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A.D. ). </w:t>
      </w:r>
      <w:r>
        <w:rPr>
          <w:rFonts w:ascii="Times New Roman" w:eastAsia="Times New Roman" w:hAnsi="Times New Roman" w:cs="Times New Roman"/>
          <w:color w:val="000000"/>
          <w:spacing w:val="0"/>
          <w:w w:val="100"/>
          <w:position w:val="0"/>
          <w:shd w:val="clear" w:color="auto" w:fill="auto"/>
          <w:lang w:val="en-US" w:eastAsia="en-US" w:bidi="en-US"/>
        </w:rPr>
        <w:t>This dictionary consists of a synonymous and a short homonymous part ; whilst in the former the words are distributed in sections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according to subjects, as heaven and the gods, time and seasons, &amp;c., in the latter they are arranged according to their final letter, without regard to the number of syllables. This Kosha has found many commentators, the oldest of those known being Kshira- svamin.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works quoted by commentators as Amara’s sources are the </w:t>
      </w:r>
      <w:r>
        <w:rPr>
          <w:rFonts w:ascii="Times New Roman" w:eastAsia="Times New Roman" w:hAnsi="Times New Roman" w:cs="Times New Roman"/>
          <w:i/>
          <w:iCs/>
          <w:color w:val="000000"/>
          <w:spacing w:val="0"/>
          <w:w w:val="100"/>
          <w:position w:val="0"/>
          <w:shd w:val="clear" w:color="auto" w:fill="auto"/>
          <w:lang w:val="en-US" w:eastAsia="en-US" w:bidi="en-US"/>
        </w:rPr>
        <w:t>Trikdnda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Utpalini-koshas,</w:t>
      </w:r>
      <w:r>
        <w:rPr>
          <w:rFonts w:ascii="Times New Roman" w:eastAsia="Times New Roman" w:hAnsi="Times New Roman" w:cs="Times New Roman"/>
          <w:color w:val="000000"/>
          <w:spacing w:val="0"/>
          <w:w w:val="100"/>
          <w:position w:val="0"/>
          <w:shd w:val="clear" w:color="auto" w:fill="auto"/>
          <w:lang w:val="en-US" w:eastAsia="en-US" w:bidi="en-US"/>
        </w:rPr>
        <w:t xml:space="preserve"> and the glossaries of Rabhasa, Vyadi, Katyayana, and Vararuchi. A Kosha ascribed to Vararuchi,—whom tradition makes one of the nine literary “gems,” and hence the contemporary of Amara-simha,— consisting of ninety short sections, has been printed at Benares (1865) in a collection of twelve Koshas. The </w:t>
      </w:r>
      <w:r>
        <w:rPr>
          <w:rFonts w:ascii="Times New Roman" w:eastAsia="Times New Roman" w:hAnsi="Times New Roman" w:cs="Times New Roman"/>
          <w:i/>
          <w:iCs/>
          <w:color w:val="000000"/>
          <w:spacing w:val="0"/>
          <w:w w:val="100"/>
          <w:position w:val="0"/>
          <w:shd w:val="clear" w:color="auto" w:fill="auto"/>
          <w:lang w:val="en-US" w:eastAsia="en-US" w:bidi="en-US"/>
        </w:rPr>
        <w:t>Abhidhdna-ratna- mdld,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by Halayudha ; the </w:t>
      </w:r>
      <w:r>
        <w:rPr>
          <w:rFonts w:ascii="Times New Roman" w:eastAsia="Times New Roman" w:hAnsi="Times New Roman" w:cs="Times New Roman"/>
          <w:i/>
          <w:iCs/>
          <w:color w:val="000000"/>
          <w:spacing w:val="0"/>
          <w:w w:val="100"/>
          <w:position w:val="0"/>
          <w:shd w:val="clear" w:color="auto" w:fill="auto"/>
          <w:lang w:val="en-US" w:eastAsia="en-US" w:bidi="en-US"/>
        </w:rPr>
        <w:t>Vi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vaprakdsa,</w:t>
      </w:r>
      <w:r>
        <w:rPr>
          <w:rFonts w:ascii="Times New Roman" w:eastAsia="Times New Roman" w:hAnsi="Times New Roman" w:cs="Times New Roman"/>
          <w:color w:val="000000"/>
          <w:spacing w:val="0"/>
          <w:w w:val="100"/>
          <w:position w:val="0"/>
          <w:shd w:val="clear" w:color="auto" w:fill="auto"/>
          <w:lang w:val="en-US" w:eastAsia="en-US" w:bidi="en-US"/>
        </w:rPr>
        <w:t xml:space="preserve"> by Mahesvara (1111); and the </w:t>
      </w:r>
      <w:r>
        <w:rPr>
          <w:rFonts w:ascii="Times New Roman" w:eastAsia="Times New Roman" w:hAnsi="Times New Roman" w:cs="Times New Roman"/>
          <w:i/>
          <w:iCs/>
          <w:color w:val="000000"/>
          <w:spacing w:val="0"/>
          <w:w w:val="100"/>
          <w:position w:val="0"/>
          <w:shd w:val="clear" w:color="auto" w:fill="auto"/>
          <w:lang w:val="en-US" w:eastAsia="en-US" w:bidi="en-US"/>
        </w:rPr>
        <w:t>Abhidhdna-chint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mani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Haima-kosha),</w:t>
      </w:r>
      <w:r>
        <w:rPr>
          <w:rFonts w:ascii="Times New Roman" w:eastAsia="Times New Roman" w:hAnsi="Times New Roman" w:cs="Times New Roman"/>
          <w:color w:val="000000"/>
          <w:spacing w:val="0"/>
          <w:w w:val="100"/>
          <w:position w:val="0"/>
          <w:shd w:val="clear" w:color="auto" w:fill="auto"/>
          <w:lang w:val="en-US" w:eastAsia="en-US" w:bidi="en-US"/>
        </w:rPr>
        <w:t xml:space="preserve"> by the Jaina Hemachandra, seem all three to belong to the 12th century. Somewhat earlier than these probably is Ajaya Pala, the author of the (homonymous)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rtha-sangraha,</w:t>
      </w:r>
      <w:r>
        <w:rPr>
          <w:rFonts w:ascii="Times New Roman" w:eastAsia="Times New Roman" w:hAnsi="Times New Roman" w:cs="Times New Roman"/>
          <w:color w:val="000000"/>
          <w:spacing w:val="0"/>
          <w:w w:val="100"/>
          <w:position w:val="0"/>
          <w:shd w:val="clear" w:color="auto" w:fill="auto"/>
          <w:lang w:val="en-US" w:eastAsia="en-US" w:bidi="en-US"/>
        </w:rPr>
        <w:t xml:space="preserve"> being quoted by Var- dham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na (1140 </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of more uncertain date is Purushottama Deva, who wrote the </w:t>
      </w:r>
      <w:r>
        <w:rPr>
          <w:rFonts w:ascii="Times New Roman" w:eastAsia="Times New Roman" w:hAnsi="Times New Roman" w:cs="Times New Roman"/>
          <w:i/>
          <w:iCs/>
          <w:color w:val="000000"/>
          <w:spacing w:val="0"/>
          <w:w w:val="100"/>
          <w:position w:val="0"/>
          <w:shd w:val="clear" w:color="auto" w:fill="auto"/>
          <w:lang w:val="en-US" w:eastAsia="en-US" w:bidi="en-US"/>
        </w:rPr>
        <w:t>Trik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esha,</w:t>
      </w:r>
      <w:r>
        <w:rPr>
          <w:rFonts w:ascii="Times New Roman" w:eastAsia="Times New Roman" w:hAnsi="Times New Roman" w:cs="Times New Roman"/>
          <w:color w:val="000000"/>
          <w:spacing w:val="0"/>
          <w:w w:val="100"/>
          <w:position w:val="0"/>
          <w:shd w:val="clear" w:color="auto" w:fill="auto"/>
          <w:lang w:val="en-US" w:eastAsia="en-US" w:bidi="en-US"/>
        </w:rPr>
        <w:t xml:space="preserve"> a supplement to the Amarakosha, besides the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vali,</w:t>
      </w:r>
      <w:r>
        <w:rPr>
          <w:rFonts w:ascii="Times New Roman" w:eastAsia="Times New Roman" w:hAnsi="Times New Roman" w:cs="Times New Roman"/>
          <w:color w:val="000000"/>
          <w:spacing w:val="0"/>
          <w:w w:val="100"/>
          <w:position w:val="0"/>
          <w:shd w:val="clear" w:color="auto" w:fill="auto"/>
          <w:lang w:val="en-US" w:eastAsia="en-US" w:bidi="en-US"/>
        </w:rPr>
        <w:t xml:space="preserve"> a collection of uncommon words, and two other short glossaries. Of numerous other works of this class the most important is the </w:t>
      </w:r>
      <w:r>
        <w:rPr>
          <w:rFonts w:ascii="Times New Roman" w:eastAsia="Times New Roman" w:hAnsi="Times New Roman" w:cs="Times New Roman"/>
          <w:i/>
          <w:iCs/>
          <w:color w:val="000000"/>
          <w:spacing w:val="0"/>
          <w:w w:val="100"/>
          <w:position w:val="0"/>
          <w:shd w:val="clear" w:color="auto" w:fill="auto"/>
          <w:lang w:val="en-US" w:eastAsia="en-US" w:bidi="en-US"/>
        </w:rPr>
        <w:t>Medin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dictionary of homonyms, arranged in the first place according to the finals and the syllabic length, and then alphabetically. Two important dictionaries, compiled by native scholars of the present cen- tury, are the </w:t>
      </w:r>
      <w:r>
        <w:rPr>
          <w:rFonts w:ascii="Times New Roman" w:eastAsia="Times New Roman" w:hAnsi="Times New Roman" w:cs="Times New Roman"/>
          <w:i/>
          <w:iCs/>
          <w:color w:val="000000"/>
          <w:spacing w:val="0"/>
          <w:w w:val="100"/>
          <w:position w:val="0"/>
          <w:shd w:val="clear" w:color="auto" w:fill="auto"/>
          <w:lang w:val="en-US" w:eastAsia="en-US" w:bidi="en-US"/>
        </w:rPr>
        <w:t>Sabdakalpadruma</w:t>
      </w:r>
      <w:r>
        <w:rPr>
          <w:rFonts w:ascii="Times New Roman" w:eastAsia="Times New Roman" w:hAnsi="Times New Roman" w:cs="Times New Roman"/>
          <w:color w:val="000000"/>
          <w:spacing w:val="0"/>
          <w:w w:val="100"/>
          <w:position w:val="0"/>
          <w:shd w:val="clear" w:color="auto" w:fill="auto"/>
          <w:lang w:val="en-US" w:eastAsia="en-US" w:bidi="en-US"/>
        </w:rPr>
        <w:t xml:space="preserve"> by Radhakanta Deva, and the </w:t>
      </w:r>
      <w:r>
        <w:rPr>
          <w:rFonts w:ascii="Times New Roman" w:eastAsia="Times New Roman" w:hAnsi="Times New Roman" w:cs="Times New Roman"/>
          <w:i/>
          <w:iCs/>
          <w:color w:val="000000"/>
          <w:spacing w:val="0"/>
          <w:w w:val="100"/>
          <w:position w:val="0"/>
          <w:shd w:val="clear" w:color="auto" w:fill="auto"/>
          <w:lang w:val="en-US" w:eastAsia="en-US" w:bidi="en-US"/>
        </w:rPr>
        <w:t>Vdchaspatya,</w:t>
      </w:r>
      <w:r>
        <w:rPr>
          <w:rFonts w:ascii="Times New Roman" w:eastAsia="Times New Roman" w:hAnsi="Times New Roman" w:cs="Times New Roman"/>
          <w:color w:val="000000"/>
          <w:spacing w:val="0"/>
          <w:w w:val="100"/>
          <w:position w:val="0"/>
          <w:shd w:val="clear" w:color="auto" w:fill="auto"/>
          <w:lang w:val="en-US" w:eastAsia="en-US" w:bidi="en-US"/>
        </w:rPr>
        <w:t xml:space="preserve"> by Taranatha Tarka-vachaspati. A full account of Sanskrit dictionaries is contained in the preface to the first edition of H. H. Wilson’s </w:t>
      </w:r>
      <w:r>
        <w:rPr>
          <w:rFonts w:ascii="Times New Roman" w:eastAsia="Times New Roman" w:hAnsi="Times New Roman" w:cs="Times New Roman"/>
          <w:i/>
          <w:iCs/>
          <w:color w:val="000000"/>
          <w:spacing w:val="0"/>
          <w:w w:val="100"/>
          <w:position w:val="0"/>
          <w:shd w:val="clear" w:color="auto" w:fill="auto"/>
          <w:lang w:val="en-US" w:eastAsia="en-US" w:bidi="en-US"/>
        </w:rPr>
        <w:t>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reprinted in his </w:t>
      </w:r>
      <w:r>
        <w:rPr>
          <w:rFonts w:ascii="Times New Roman" w:eastAsia="Times New Roman" w:hAnsi="Times New Roman" w:cs="Times New Roman"/>
          <w:i/>
          <w:iCs/>
          <w:color w:val="000000"/>
          <w:spacing w:val="0"/>
          <w:w w:val="100"/>
          <w:position w:val="0"/>
          <w:shd w:val="clear" w:color="auto" w:fill="auto"/>
          <w:lang w:val="en-US" w:eastAsia="en-US" w:bidi="en-US"/>
        </w:rPr>
        <w:t>Essays on Sanskrit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vol. iii.</w:t>
      </w:r>
    </w:p>
    <w:p>
      <w:pPr>
        <w:pStyle w:val="Style3"/>
        <w:keepNext w:val="0"/>
        <w:keepLines w:val="0"/>
        <w:widowControl w:val="0"/>
        <w:numPr>
          <w:ilvl w:val="0"/>
          <w:numId w:val="1"/>
        </w:numPr>
        <w:shd w:val="clear" w:color="auto" w:fill="auto"/>
        <w:tabs>
          <w:tab w:pos="421"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Prosody </w:t>
      </w:r>
      <w:r>
        <w:rPr>
          <w:rFonts w:ascii="Times New Roman" w:eastAsia="Times New Roman" w:hAnsi="Times New Roman" w:cs="Times New Roman"/>
          <w:i/>
          <w:iCs/>
          <w:color w:val="000000"/>
          <w:spacing w:val="0"/>
          <w:w w:val="100"/>
          <w:position w:val="0"/>
          <w:shd w:val="clear" w:color="auto" w:fill="auto"/>
          <w:lang w:val="en-US" w:eastAsia="en-US" w:bidi="en-US"/>
        </w:rPr>
        <w:t>(Chhandas).—</w:t>
      </w:r>
      <w:r>
        <w:rPr>
          <w:rFonts w:ascii="Times New Roman" w:eastAsia="Times New Roman" w:hAnsi="Times New Roman" w:cs="Times New Roman"/>
          <w:color w:val="000000"/>
          <w:spacing w:val="0"/>
          <w:w w:val="100"/>
          <w:position w:val="0"/>
          <w:shd w:val="clear" w:color="auto" w:fill="auto"/>
          <w:lang w:val="en-US" w:eastAsia="en-US" w:bidi="en-US"/>
        </w:rPr>
        <w:t xml:space="preserve">The oldest treatises on prosody have already been referred to in the account of the technical branches of the later Vedic literature. Among more modern treatises the most important are the </w:t>
      </w:r>
      <w:r>
        <w:rPr>
          <w:rFonts w:ascii="Times New Roman" w:eastAsia="Times New Roman" w:hAnsi="Times New Roman" w:cs="Times New Roman"/>
          <w:i/>
          <w:iCs/>
          <w:color w:val="000000"/>
          <w:spacing w:val="0"/>
          <w:w w:val="100"/>
          <w:position w:val="0"/>
          <w:shd w:val="clear" w:color="auto" w:fill="auto"/>
          <w:lang w:val="en-US" w:eastAsia="en-US" w:bidi="en-US"/>
        </w:rPr>
        <w:t>Mrita-sanj</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van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commentary on Pingala’s Sutra, by Halayudha (perhaps identical with the author of the glossary above referred to); the </w:t>
      </w:r>
      <w:r>
        <w:rPr>
          <w:rFonts w:ascii="Times New Roman" w:eastAsia="Times New Roman" w:hAnsi="Times New Roman" w:cs="Times New Roman"/>
          <w:i/>
          <w:iCs/>
          <w:color w:val="000000"/>
          <w:spacing w:val="0"/>
          <w:w w:val="100"/>
          <w:position w:val="0"/>
          <w:shd w:val="clear" w:color="auto" w:fill="auto"/>
          <w:lang w:val="en-US" w:eastAsia="en-US" w:bidi="en-US"/>
        </w:rPr>
        <w:t>Vritta-ratn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kara,</w:t>
      </w:r>
      <w:r>
        <w:rPr>
          <w:rFonts w:ascii="Times New Roman" w:eastAsia="Times New Roman" w:hAnsi="Times New Roman" w:cs="Times New Roman"/>
          <w:color w:val="000000"/>
          <w:spacing w:val="0"/>
          <w:w w:val="100"/>
          <w:position w:val="0"/>
          <w:shd w:val="clear" w:color="auto" w:fill="auto"/>
          <w:lang w:val="en-US" w:eastAsia="en-US" w:bidi="en-US"/>
        </w:rPr>
        <w:t xml:space="preserve"> or “jewel-mine of metres,” in six chapters, composed before the 13th century by Kedara Bhatta, with several commentaries; and the </w:t>
      </w:r>
      <w:r>
        <w:rPr>
          <w:rFonts w:ascii="Times New Roman" w:eastAsia="Times New Roman" w:hAnsi="Times New Roman" w:cs="Times New Roman"/>
          <w:i/>
          <w:iCs/>
          <w:color w:val="000000"/>
          <w:spacing w:val="0"/>
          <w:w w:val="100"/>
          <w:position w:val="0"/>
          <w:shd w:val="clear" w:color="auto" w:fill="auto"/>
          <w:lang w:val="en-US" w:eastAsia="en-US" w:bidi="en-US"/>
        </w:rPr>
        <w:t>Chhando-manjar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likewise in six chapters, by Gangadasa. The </w:t>
      </w:r>
      <w:r>
        <w:rPr>
          <w:rFonts w:ascii="Times New Roman" w:eastAsia="Times New Roman" w:hAnsi="Times New Roman" w:cs="Times New Roman"/>
          <w:i/>
          <w:iCs/>
          <w:color w:val="000000"/>
          <w:spacing w:val="0"/>
          <w:w w:val="100"/>
          <w:position w:val="0"/>
          <w:shd w:val="clear" w:color="auto" w:fill="auto"/>
          <w:lang w:val="en-US" w:eastAsia="en-US" w:bidi="en-US"/>
        </w:rPr>
        <w:t>Srutabodha,</w:t>
      </w:r>
      <w:r>
        <w:rPr>
          <w:rFonts w:ascii="Times New Roman" w:eastAsia="Times New Roman" w:hAnsi="Times New Roman" w:cs="Times New Roman"/>
          <w:color w:val="000000"/>
          <w:spacing w:val="0"/>
          <w:w w:val="100"/>
          <w:position w:val="0"/>
          <w:shd w:val="clear" w:color="auto" w:fill="auto"/>
          <w:lang w:val="en-US" w:eastAsia="en-US" w:bidi="en-US"/>
        </w:rPr>
        <w:t xml:space="preserve"> ascribed, probably wrongly, to the great Kalidasa, is a comparatively insignificant treatise, dealing only with the more common metres, in such a way that each couplet forms a specimen of the metre it describes. The </w:t>
      </w:r>
      <w:r>
        <w:rPr>
          <w:rFonts w:ascii="Times New Roman" w:eastAsia="Times New Roman" w:hAnsi="Times New Roman" w:cs="Times New Roman"/>
          <w:i/>
          <w:iCs/>
          <w:color w:val="000000"/>
          <w:spacing w:val="0"/>
          <w:w w:val="100"/>
          <w:position w:val="0"/>
          <w:shd w:val="clear" w:color="auto" w:fill="auto"/>
          <w:lang w:val="en-US" w:eastAsia="en-US" w:bidi="en-US"/>
        </w:rPr>
        <w:t>Vritta-darpana</w:t>
      </w:r>
      <w:r>
        <w:rPr>
          <w:rFonts w:ascii="Times New Roman" w:eastAsia="Times New Roman" w:hAnsi="Times New Roman" w:cs="Times New Roman"/>
          <w:color w:val="000000"/>
          <w:spacing w:val="0"/>
          <w:w w:val="100"/>
          <w:position w:val="0"/>
          <w:shd w:val="clear" w:color="auto" w:fill="auto"/>
          <w:lang w:val="en-US" w:eastAsia="en-US" w:bidi="en-US"/>
        </w:rPr>
        <w:t xml:space="preserve"> treats chiefly of Prakrit metres. Sanskrit prosody, which is probably not surpassed by any other either in variety of metre or in harmonious</w:t>
        <w:softHyphen/>
        <w:t>ness of rhythm, recognizes two classes of metres, viz., such as con</w:t>
        <w:softHyphen/>
        <w:t xml:space="preserve">sist of a certain number of syllables of fixed quantity, and such as are regulated by groups of breves or metrical instants, this latter class being again of two kinds, according as it is or is not bound by a fixed order of feet. A pleasant account of Sanskrit poetics is given in Colebrooke’s </w:t>
      </w:r>
      <w:r>
        <w:rPr>
          <w:rFonts w:ascii="Times New Roman" w:eastAsia="Times New Roman" w:hAnsi="Times New Roman" w:cs="Times New Roman"/>
          <w:i/>
          <w:iCs/>
          <w:color w:val="000000"/>
          <w:spacing w:val="0"/>
          <w:w w:val="100"/>
          <w:position w:val="0"/>
          <w:shd w:val="clear" w:color="auto" w:fill="auto"/>
          <w:lang w:val="en-US" w:eastAsia="en-US" w:bidi="en-US"/>
        </w:rPr>
        <w:t>Essays,</w:t>
      </w:r>
      <w:r>
        <w:rPr>
          <w:rFonts w:ascii="Times New Roman" w:eastAsia="Times New Roman" w:hAnsi="Times New Roman" w:cs="Times New Roman"/>
          <w:color w:val="000000"/>
          <w:spacing w:val="0"/>
          <w:w w:val="100"/>
          <w:position w:val="0"/>
          <w:shd w:val="clear" w:color="auto" w:fill="auto"/>
          <w:lang w:val="en-US" w:eastAsia="en-US" w:bidi="en-US"/>
        </w:rPr>
        <w:t xml:space="preserve"> vol. ii.; a more complete and systematic one by Prof.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vol. viii.</w:t>
      </w:r>
    </w:p>
    <w:p>
      <w:pPr>
        <w:pStyle w:val="Style3"/>
        <w:keepNext w:val="0"/>
        <w:keepLines w:val="0"/>
        <w:widowControl w:val="0"/>
        <w:numPr>
          <w:ilvl w:val="0"/>
          <w:numId w:val="1"/>
        </w:numPr>
        <w:shd w:val="clear" w:color="auto" w:fill="auto"/>
        <w:tabs>
          <w:tab w:pos="490"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Music </w:t>
      </w:r>
      <w:r>
        <w:rPr>
          <w:rFonts w:ascii="Times New Roman" w:eastAsia="Times New Roman" w:hAnsi="Times New Roman" w:cs="Times New Roman"/>
          <w:i/>
          <w:iCs/>
          <w:color w:val="000000"/>
          <w:spacing w:val="0"/>
          <w:w w:val="100"/>
          <w:position w:val="0"/>
          <w:shd w:val="clear" w:color="auto" w:fill="auto"/>
          <w:lang w:val="en-US" w:eastAsia="en-US" w:bidi="en-US"/>
        </w:rPr>
        <w:t>(Sang</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ta).—</w:t>
      </w:r>
      <w:r>
        <w:rPr>
          <w:rFonts w:ascii="Times New Roman" w:eastAsia="Times New Roman" w:hAnsi="Times New Roman" w:cs="Times New Roman"/>
          <w:color w:val="000000"/>
          <w:spacing w:val="0"/>
          <w:w w:val="100"/>
          <w:position w:val="0"/>
          <w:shd w:val="clear" w:color="auto" w:fill="auto"/>
          <w:lang w:val="en-US" w:eastAsia="en-US" w:bidi="en-US"/>
        </w:rPr>
        <w:t xml:space="preserve">The musical art has been practised in India from early times. The theoretic treatises on profane music now extant are, however, quite modern productions. The two most highly esteemed works are the </w:t>
      </w:r>
      <w:r>
        <w:rPr>
          <w:rFonts w:ascii="Times New Roman" w:eastAsia="Times New Roman" w:hAnsi="Times New Roman" w:cs="Times New Roman"/>
          <w:i/>
          <w:iCs/>
          <w:color w:val="000000"/>
          <w:spacing w:val="0"/>
          <w:w w:val="100"/>
          <w:position w:val="0"/>
          <w:shd w:val="clear" w:color="auto" w:fill="auto"/>
          <w:lang w:val="en-US" w:eastAsia="en-US" w:bidi="en-US"/>
        </w:rPr>
        <w:t>Sang</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ta-ratn</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kara</w:t>
      </w:r>
      <w:r>
        <w:rPr>
          <w:rFonts w:ascii="Times New Roman" w:eastAsia="Times New Roman" w:hAnsi="Times New Roman" w:cs="Times New Roman"/>
          <w:color w:val="000000"/>
          <w:spacing w:val="0"/>
          <w:w w:val="100"/>
          <w:position w:val="0"/>
          <w:shd w:val="clear" w:color="auto" w:fill="auto"/>
          <w:lang w:val="en-US" w:eastAsia="en-US" w:bidi="en-US"/>
        </w:rPr>
        <w:t xml:space="preserve"> (“jewel- mine of music ”), by Sarngadeva, and the </w:t>
      </w:r>
      <w:r>
        <w:rPr>
          <w:rFonts w:ascii="Times New Roman" w:eastAsia="Times New Roman" w:hAnsi="Times New Roman" w:cs="Times New Roman"/>
          <w:i/>
          <w:iCs/>
          <w:color w:val="000000"/>
          <w:spacing w:val="0"/>
          <w:w w:val="100"/>
          <w:position w:val="0"/>
          <w:shd w:val="clear" w:color="auto" w:fill="auto"/>
          <w:lang w:val="en-US" w:eastAsia="en-US" w:bidi="en-US"/>
        </w:rPr>
        <w:t>Sang</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ta-darpana</w:t>
      </w:r>
      <w:r>
        <w:rPr>
          <w:rFonts w:ascii="Times New Roman" w:eastAsia="Times New Roman" w:hAnsi="Times New Roman" w:cs="Times New Roman"/>
          <w:color w:val="000000"/>
          <w:spacing w:val="0"/>
          <w:w w:val="100"/>
          <w:position w:val="0"/>
          <w:shd w:val="clear" w:color="auto" w:fill="auto"/>
          <w:lang w:val="en-US" w:eastAsia="en-US" w:bidi="en-US"/>
        </w:rPr>
        <w:t xml:space="preserve"> (“ mirror of music”), by Damodara. Each of these works consists of seven chapters, treating respectively of—(1) sound and musical notes </w:t>
      </w:r>
      <w:r>
        <w:rPr>
          <w:rFonts w:ascii="Times New Roman" w:eastAsia="Times New Roman" w:hAnsi="Times New Roman" w:cs="Times New Roman"/>
          <w:i/>
          <w:iCs/>
          <w:color w:val="000000"/>
          <w:spacing w:val="0"/>
          <w:w w:val="100"/>
          <w:position w:val="0"/>
          <w:shd w:val="clear" w:color="auto" w:fill="auto"/>
          <w:lang w:val="en-US" w:eastAsia="en-US" w:bidi="en-US"/>
        </w:rPr>
        <w:t>(svara)</w:t>
      </w:r>
      <w:r>
        <w:rPr>
          <w:rFonts w:ascii="Times New Roman" w:eastAsia="Times New Roman" w:hAnsi="Times New Roman" w:cs="Times New Roman"/>
          <w:color w:val="000000"/>
          <w:spacing w:val="0"/>
          <w:w w:val="100"/>
          <w:position w:val="0"/>
          <w:shd w:val="clear" w:color="auto" w:fill="auto"/>
          <w:lang w:val="en-US" w:eastAsia="en-US" w:bidi="en-US"/>
        </w:rPr>
        <w:t xml:space="preserve">; (2) melodies </w:t>
      </w:r>
      <w:r>
        <w:rPr>
          <w:rFonts w:ascii="Times New Roman" w:eastAsia="Times New Roman" w:hAnsi="Times New Roman" w:cs="Times New Roman"/>
          <w:i/>
          <w:iCs/>
          <w:color w:val="000000"/>
          <w:spacing w:val="0"/>
          <w:w w:val="100"/>
          <w:position w:val="0"/>
          <w:shd w:val="clear" w:color="auto" w:fill="auto"/>
          <w:lang w:val="en-US" w:eastAsia="en-US" w:bidi="en-US"/>
        </w:rPr>
        <w:t>(rdga)</w:t>
      </w:r>
      <w:r>
        <w:rPr>
          <w:rFonts w:ascii="Times New Roman" w:eastAsia="Times New Roman" w:hAnsi="Times New Roman" w:cs="Times New Roman"/>
          <w:color w:val="000000"/>
          <w:spacing w:val="0"/>
          <w:w w:val="100"/>
          <w:position w:val="0"/>
          <w:shd w:val="clear" w:color="auto" w:fill="auto"/>
          <w:lang w:val="en-US" w:eastAsia="en-US" w:bidi="en-US"/>
        </w:rPr>
        <w:t xml:space="preserve">; (3) music in connexion with the human voice </w:t>
      </w:r>
      <w:r>
        <w:rPr>
          <w:rFonts w:ascii="Times New Roman" w:eastAsia="Times New Roman" w:hAnsi="Times New Roman" w:cs="Times New Roman"/>
          <w:i/>
          <w:iCs/>
          <w:color w:val="000000"/>
          <w:spacing w:val="0"/>
          <w:w w:val="100"/>
          <w:position w:val="0"/>
          <w:shd w:val="clear" w:color="auto" w:fill="auto"/>
          <w:lang w:val="en-US" w:eastAsia="en-US" w:bidi="en-US"/>
        </w:rPr>
        <w:t>(prakirnaka)</w:t>
      </w:r>
      <w:r>
        <w:rPr>
          <w:rFonts w:ascii="Times New Roman" w:eastAsia="Times New Roman" w:hAnsi="Times New Roman" w:cs="Times New Roman"/>
          <w:color w:val="000000"/>
          <w:spacing w:val="0"/>
          <w:w w:val="100"/>
          <w:position w:val="0"/>
          <w:shd w:val="clear" w:color="auto" w:fill="auto"/>
          <w:lang w:val="en-US" w:eastAsia="en-US" w:bidi="en-US"/>
        </w:rPr>
        <w:t xml:space="preserve">; (4) musical compositions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(prabandha) ; </w:t>
      </w:r>
      <w:r>
        <w:rPr>
          <w:rFonts w:ascii="Times New Roman" w:eastAsia="Times New Roman" w:hAnsi="Times New Roman" w:cs="Times New Roman"/>
          <w:color w:val="000000"/>
          <w:spacing w:val="0"/>
          <w:w w:val="100"/>
          <w:position w:val="0"/>
          <w:shd w:val="clear" w:color="auto" w:fill="auto"/>
          <w:lang w:val="en-US" w:eastAsia="en-US" w:bidi="en-US"/>
        </w:rPr>
        <w:t xml:space="preserve">(5) time and measure </w:t>
      </w:r>
      <w:r>
        <w:rPr>
          <w:rFonts w:ascii="Times New Roman" w:eastAsia="Times New Roman" w:hAnsi="Times New Roman" w:cs="Times New Roman"/>
          <w:i/>
          <w:iCs/>
          <w:color w:val="000000"/>
          <w:spacing w:val="0"/>
          <w:w w:val="100"/>
          <w:position w:val="0"/>
          <w:shd w:val="clear" w:color="auto" w:fill="auto"/>
          <w:lang w:val="en-US" w:eastAsia="en-US" w:bidi="en-US"/>
        </w:rPr>
        <w:t>(tdla)</w:t>
      </w:r>
      <w:r>
        <w:rPr>
          <w:rFonts w:ascii="Times New Roman" w:eastAsia="Times New Roman" w:hAnsi="Times New Roman" w:cs="Times New Roman"/>
          <w:color w:val="000000"/>
          <w:spacing w:val="0"/>
          <w:w w:val="100"/>
          <w:position w:val="0"/>
          <w:shd w:val="clear" w:color="auto" w:fill="auto"/>
          <w:lang w:val="en-US" w:eastAsia="en-US" w:bidi="en-US"/>
        </w:rPr>
        <w:t xml:space="preserve"> ; (6) musical instruments and instru</w:t>
        <w:softHyphen/>
        <w:t xml:space="preserve">mental music </w:t>
      </w:r>
      <w:r>
        <w:rPr>
          <w:rFonts w:ascii="Times New Roman" w:eastAsia="Times New Roman" w:hAnsi="Times New Roman" w:cs="Times New Roman"/>
          <w:i/>
          <w:iCs/>
          <w:color w:val="000000"/>
          <w:spacing w:val="0"/>
          <w:w w:val="100"/>
          <w:position w:val="0"/>
          <w:shd w:val="clear" w:color="auto" w:fill="auto"/>
          <w:lang w:val="en-US" w:eastAsia="en-US" w:bidi="en-US"/>
        </w:rPr>
        <w:t>(vddya)</w:t>
      </w:r>
      <w:r>
        <w:rPr>
          <w:rFonts w:ascii="Times New Roman" w:eastAsia="Times New Roman" w:hAnsi="Times New Roman" w:cs="Times New Roman"/>
          <w:color w:val="000000"/>
          <w:spacing w:val="0"/>
          <w:w w:val="100"/>
          <w:position w:val="0"/>
          <w:shd w:val="clear" w:color="auto" w:fill="auto"/>
          <w:lang w:val="en-US" w:eastAsia="en-US" w:bidi="en-US"/>
        </w:rPr>
        <w:t xml:space="preserve"> ; (7) dancing and acting </w:t>
      </w:r>
      <w:r>
        <w:rPr>
          <w:rFonts w:ascii="Times New Roman" w:eastAsia="Times New Roman" w:hAnsi="Times New Roman" w:cs="Times New Roman"/>
          <w:i/>
          <w:iCs/>
          <w:color w:val="000000"/>
          <w:spacing w:val="0"/>
          <w:w w:val="100"/>
          <w:position w:val="0"/>
          <w:shd w:val="clear" w:color="auto" w:fill="auto"/>
          <w:lang w:val="en-US" w:eastAsia="en-US" w:bidi="en-US"/>
        </w:rPr>
        <w:t>(nritta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nritya). </w:t>
      </w:r>
      <w:r>
        <w:rPr>
          <w:rFonts w:ascii="Times New Roman" w:eastAsia="Times New Roman" w:hAnsi="Times New Roman" w:cs="Times New Roman"/>
          <w:color w:val="000000"/>
          <w:spacing w:val="0"/>
          <w:w w:val="100"/>
          <w:position w:val="0"/>
          <w:shd w:val="clear" w:color="auto" w:fill="auto"/>
          <w:lang w:val="en-US" w:eastAsia="en-US" w:bidi="en-US"/>
        </w:rPr>
        <w:t xml:space="preserve">The Indian octave consists like our own of seven chief notes </w:t>
      </w:r>
      <w:r>
        <w:rPr>
          <w:rFonts w:ascii="Times New Roman" w:eastAsia="Times New Roman" w:hAnsi="Times New Roman" w:cs="Times New Roman"/>
          <w:i/>
          <w:iCs/>
          <w:color w:val="000000"/>
          <w:spacing w:val="0"/>
          <w:w w:val="100"/>
          <w:position w:val="0"/>
          <w:shd w:val="clear" w:color="auto" w:fill="auto"/>
          <w:lang w:val="en-US" w:eastAsia="en-US" w:bidi="en-US"/>
        </w:rPr>
        <w:t>(svara)</w:t>
      </w:r>
      <w:r>
        <w:rPr>
          <w:rFonts w:ascii="Times New Roman" w:eastAsia="Times New Roman" w:hAnsi="Times New Roman" w:cs="Times New Roman"/>
          <w:color w:val="000000"/>
          <w:spacing w:val="0"/>
          <w:w w:val="100"/>
          <w:position w:val="0"/>
          <w:shd w:val="clear" w:color="auto" w:fill="auto"/>
          <w:lang w:val="en-US" w:eastAsia="en-US" w:bidi="en-US"/>
        </w:rPr>
        <w:t xml:space="preserve"> ; but, while with us it is subdivided into twelve semi-tones, the Hindu theory distinguishes twenty-two intervals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(kruti, </w:t>
      </w:r>
      <w:r>
        <w:rPr>
          <w:rFonts w:ascii="Times New Roman" w:eastAsia="Times New Roman" w:hAnsi="Times New Roman" w:cs="Times New Roman"/>
          <w:color w:val="000000"/>
          <w:spacing w:val="0"/>
          <w:w w:val="100"/>
          <w:position w:val="0"/>
          <w:shd w:val="clear" w:color="auto" w:fill="auto"/>
          <w:lang w:val="en-US" w:eastAsia="en-US" w:bidi="en-US"/>
        </w:rPr>
        <w:t xml:space="preserve">audible sound). There is, however, some doubt as to whether these </w:t>
      </w:r>
      <w:r>
        <w:rPr>
          <w:rFonts w:ascii="Times New Roman" w:eastAsia="Times New Roman" w:hAnsi="Times New Roman" w:cs="Times New Roman"/>
          <w:i/>
          <w:iCs/>
          <w:color w:val="000000"/>
          <w:spacing w:val="0"/>
          <w:w w:val="100"/>
          <w:position w:val="0"/>
          <w:shd w:val="clear" w:color="auto" w:fill="auto"/>
          <w:lang w:val="en-US" w:eastAsia="en-US" w:bidi="en-US"/>
        </w:rPr>
        <w:t>śrutis</w:t>
      </w:r>
      <w:r>
        <w:rPr>
          <w:rFonts w:ascii="Times New Roman" w:eastAsia="Times New Roman" w:hAnsi="Times New Roman" w:cs="Times New Roman"/>
          <w:color w:val="000000"/>
          <w:spacing w:val="0"/>
          <w:w w:val="100"/>
          <w:position w:val="0"/>
          <w:shd w:val="clear" w:color="auto" w:fill="auto"/>
          <w:lang w:val="en-US" w:eastAsia="en-US" w:bidi="en-US"/>
        </w:rPr>
        <w:t xml:space="preserve"> are quite equal to one another,—in which case the intervals between the chief notes would be unequal, since they consist of either two or three or four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rutis,—</w:t>
      </w:r>
      <w:r>
        <w:rPr>
          <w:rFonts w:ascii="Times New Roman" w:eastAsia="Times New Roman" w:hAnsi="Times New Roman" w:cs="Times New Roman"/>
          <w:color w:val="000000"/>
          <w:spacing w:val="0"/>
          <w:w w:val="100"/>
          <w:position w:val="0"/>
          <w:shd w:val="clear" w:color="auto" w:fill="auto"/>
          <w:lang w:val="en-US" w:eastAsia="en-US" w:bidi="en-US"/>
        </w:rPr>
        <w:t xml:space="preserve">or whether, if the intervals between the chief notes be equal,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rutis</w:t>
      </w:r>
      <w:r>
        <w:rPr>
          <w:rFonts w:ascii="Times New Roman" w:eastAsia="Times New Roman" w:hAnsi="Times New Roman" w:cs="Times New Roman"/>
          <w:color w:val="000000"/>
          <w:spacing w:val="0"/>
          <w:w w:val="100"/>
          <w:position w:val="0"/>
          <w:shd w:val="clear" w:color="auto" w:fill="auto"/>
          <w:lang w:val="en-US" w:eastAsia="en-US" w:bidi="en-US"/>
        </w:rPr>
        <w:t xml:space="preserve"> themselves vary in duration between quarter-, third-, and semi-tones. There are three scales </w:t>
      </w:r>
      <w:r>
        <w:rPr>
          <w:rFonts w:ascii="Times New Roman" w:eastAsia="Times New Roman" w:hAnsi="Times New Roman" w:cs="Times New Roman"/>
          <w:i/>
          <w:iCs/>
          <w:color w:val="000000"/>
          <w:spacing w:val="0"/>
          <w:w w:val="100"/>
          <w:position w:val="0"/>
          <w:shd w:val="clear" w:color="auto" w:fill="auto"/>
          <w:lang w:val="en-US" w:eastAsia="en-US" w:bidi="en-US"/>
        </w:rPr>
        <w:t>(gr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w:t>
      </w:r>
      <w:r>
        <w:rPr>
          <w:rFonts w:ascii="Times New Roman" w:eastAsia="Times New Roman" w:hAnsi="Times New Roman" w:cs="Times New Roman"/>
          <w:color w:val="000000"/>
          <w:spacing w:val="0"/>
          <w:w w:val="100"/>
          <w:position w:val="0"/>
          <w:shd w:val="clear" w:color="auto" w:fill="auto"/>
          <w:lang w:val="en-US" w:eastAsia="en-US" w:bidi="en-US"/>
        </w:rPr>
        <w:t xml:space="preserve"> differing from each other in the nature of the chief intervals (either as regards actual duration, or the number of srutis or sub-tones). Indian music consists almost entirely in melody, instrumental accompaniment being performed in unison, and any attempt at harmony being confined to the continuation of the key-note. A number of papers, by various writers, have been reprinted with additional remarks on the subject, in Sourindro Mohun Tagore’s </w:t>
      </w:r>
      <w:r>
        <w:rPr>
          <w:rFonts w:ascii="Times New Roman" w:eastAsia="Times New Roman" w:hAnsi="Times New Roman" w:cs="Times New Roman"/>
          <w:i/>
          <w:iCs/>
          <w:color w:val="000000"/>
          <w:spacing w:val="0"/>
          <w:w w:val="100"/>
          <w:position w:val="0"/>
          <w:shd w:val="clear" w:color="auto" w:fill="auto"/>
          <w:lang w:val="en-US" w:eastAsia="en-US" w:bidi="en-US"/>
        </w:rPr>
        <w:t>Hindu Music,</w:t>
      </w:r>
      <w:r>
        <w:rPr>
          <w:rFonts w:ascii="Times New Roman" w:eastAsia="Times New Roman" w:hAnsi="Times New Roman" w:cs="Times New Roman"/>
          <w:color w:val="000000"/>
          <w:spacing w:val="0"/>
          <w:w w:val="100"/>
          <w:position w:val="0"/>
          <w:shd w:val="clear" w:color="auto" w:fill="auto"/>
          <w:lang w:val="en-US" w:eastAsia="en-US" w:bidi="en-US"/>
        </w:rPr>
        <w:t xml:space="preserve"> Calcutta, 1875. Compare also “ Hindu Music,” reprinted from the </w:t>
      </w:r>
      <w:r>
        <w:rPr>
          <w:rFonts w:ascii="Times New Roman" w:eastAsia="Times New Roman" w:hAnsi="Times New Roman" w:cs="Times New Roman"/>
          <w:i/>
          <w:iCs/>
          <w:color w:val="000000"/>
          <w:spacing w:val="0"/>
          <w:w w:val="100"/>
          <w:position w:val="0"/>
          <w:shd w:val="clear" w:color="auto" w:fill="auto"/>
          <w:lang w:val="en-US" w:eastAsia="en-US" w:bidi="en-US"/>
        </w:rPr>
        <w:t>Hindoo Patriot,</w:t>
      </w:r>
      <w:r>
        <w:rPr>
          <w:rFonts w:ascii="Times New Roman" w:eastAsia="Times New Roman" w:hAnsi="Times New Roman" w:cs="Times New Roman"/>
          <w:color w:val="000000"/>
          <w:spacing w:val="0"/>
          <w:w w:val="100"/>
          <w:position w:val="0"/>
          <w:shd w:val="clear" w:color="auto" w:fill="auto"/>
          <w:lang w:val="en-US" w:eastAsia="en-US" w:bidi="en-US"/>
        </w:rPr>
        <w:t xml:space="preserve"> September 7, 1874.</w:t>
      </w:r>
    </w:p>
    <w:p>
      <w:pPr>
        <w:pStyle w:val="Style3"/>
        <w:keepNext w:val="0"/>
        <w:keepLines w:val="0"/>
        <w:widowControl w:val="0"/>
        <w:numPr>
          <w:ilvl w:val="0"/>
          <w:numId w:val="1"/>
        </w:numPr>
        <w:shd w:val="clear" w:color="auto" w:fill="auto"/>
        <w:tabs>
          <w:tab w:pos="59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Rhetoric </w:t>
      </w:r>
      <w:r>
        <w:rPr>
          <w:rFonts w:ascii="Times New Roman" w:eastAsia="Times New Roman" w:hAnsi="Times New Roman" w:cs="Times New Roman"/>
          <w:i/>
          <w:iCs/>
          <w:color w:val="000000"/>
          <w:spacing w:val="0"/>
          <w:w w:val="100"/>
          <w:position w:val="0"/>
          <w:shd w:val="clear" w:color="auto" w:fill="auto"/>
          <w:lang w:val="en-US" w:eastAsia="en-US" w:bidi="en-US"/>
        </w:rPr>
        <w:t>(Alankdra-sdstra).—</w:t>
      </w:r>
      <w:r>
        <w:rPr>
          <w:rFonts w:ascii="Times New Roman" w:eastAsia="Times New Roman" w:hAnsi="Times New Roman" w:cs="Times New Roman"/>
          <w:color w:val="000000"/>
          <w:spacing w:val="0"/>
          <w:w w:val="100"/>
          <w:position w:val="0"/>
          <w:shd w:val="clear" w:color="auto" w:fill="auto"/>
          <w:lang w:val="en-US" w:eastAsia="en-US" w:bidi="en-US"/>
        </w:rPr>
        <w:t>Treatises on the theory of</w:t>
      </w:r>
    </w:p>
    <w:p>
      <w:pPr>
        <w:pStyle w:val="Style3"/>
        <w:keepNext w:val="0"/>
        <w:keepLines w:val="0"/>
        <w:widowControl w:val="0"/>
        <w:shd w:val="clear" w:color="auto" w:fill="auto"/>
        <w:tabs>
          <w:tab w:pos="227"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Dr Burnell, in bis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Aindra School,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proposes to apply this term to all grammars arranged on this plan.</w:t>
      </w:r>
    </w:p>
    <w:p>
      <w:pPr>
        <w:pStyle w:val="Style3"/>
        <w:keepNext w:val="0"/>
        <w:keepLines w:val="0"/>
        <w:widowControl w:val="0"/>
        <w:shd w:val="clear" w:color="auto" w:fill="auto"/>
        <w:tabs>
          <w:tab w:pos="295"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Prof. Bhandarkar,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Early History of the Dekhan,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20, proposes to fix him</w:t>
      </w:r>
    </w:p>
    <w:p>
      <w:pPr>
        <w:pStyle w:val="Style3"/>
        <w:keepNext w:val="0"/>
        <w:keepLines w:val="0"/>
        <w:widowControl w:val="0"/>
        <w:shd w:val="clear" w:color="auto" w:fill="auto"/>
        <w:tabs>
          <w:tab w:pos="2408" w:val="left"/>
        </w:tabs>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about the end of the 3d century.</w:t>
        <w:tab/>
      </w:r>
    </w:p>
    <w:p>
      <w:pPr>
        <w:pStyle w:val="Style3"/>
        <w:keepNext w:val="0"/>
        <w:keepLines w:val="0"/>
        <w:widowControl w:val="0"/>
        <w:shd w:val="clear" w:color="auto" w:fill="auto"/>
        <w:tabs>
          <w:tab w:pos="2408" w:val="left"/>
        </w:tabs>
        <w:bidi w:val="0"/>
        <w:spacing w:line="175"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with comm., by J. Eggeling.</w:t>
      </w:r>
    </w:p>
    <w:p>
      <w:pPr>
        <w:pStyle w:val="Style3"/>
        <w:keepNext w:val="0"/>
        <w:keepLines w:val="0"/>
        <w:widowControl w:val="0"/>
        <w:shd w:val="clear" w:color="auto" w:fill="auto"/>
        <w:tabs>
          <w:tab w:pos="2466" w:val="left"/>
        </w:tabs>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Part ed. and transl. by R. Pischel.</w:t>
        <w:tab/>
      </w:r>
    </w:p>
    <w:p>
      <w:pPr>
        <w:pStyle w:val="Style3"/>
        <w:keepNext w:val="0"/>
        <w:keepLines w:val="0"/>
        <w:widowControl w:val="0"/>
        <w:shd w:val="clear" w:color="auto" w:fill="auto"/>
        <w:tabs>
          <w:tab w:pos="2466" w:val="left"/>
        </w:tabs>
        <w:bidi w:val="0"/>
        <w:spacing w:line="17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by O. Bohtlingk, 1847.</w:t>
      </w:r>
    </w:p>
    <w:p>
      <w:pPr>
        <w:pStyle w:val="Style3"/>
        <w:keepNext w:val="0"/>
        <w:keepLines w:val="0"/>
        <w:widowControl w:val="0"/>
        <w:shd w:val="clear" w:color="auto" w:fill="auto"/>
        <w:bidi w:val="0"/>
        <w:spacing w:line="17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and transl. by J. R. Ballantyne. For other modern grammars see</w:t>
      </w:r>
    </w:p>
    <w:p>
      <w:pPr>
        <w:pStyle w:val="Style3"/>
        <w:keepNext w:val="0"/>
        <w:keepLines w:val="0"/>
        <w:widowControl w:val="0"/>
        <w:shd w:val="clear" w:color="auto" w:fill="auto"/>
        <w:tabs>
          <w:tab w:pos="2272" w:val="left"/>
        </w:tabs>
        <w:bidi w:val="0"/>
        <w:spacing w:line="173"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Colebrooke,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Essays,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ii. p. 44; R</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jendraiaia Mitra;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Descriptive Catalogue,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Grammar.</w:t>
        <w:tab/>
      </w:r>
    </w:p>
    <w:p>
      <w:pPr>
        <w:pStyle w:val="Style3"/>
        <w:keepNext w:val="0"/>
        <w:keepLines w:val="0"/>
        <w:widowControl w:val="0"/>
        <w:shd w:val="clear" w:color="auto" w:fill="auto"/>
        <w:tabs>
          <w:tab w:pos="2272" w:val="left"/>
        </w:tabs>
        <w:bidi w:val="0"/>
        <w:spacing w:line="175"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and transl. by F. Kielhom.</w:t>
      </w:r>
    </w:p>
    <w:p>
      <w:pPr>
        <w:pStyle w:val="Style3"/>
        <w:keepNext w:val="0"/>
        <w:keepLines w:val="0"/>
        <w:widowControl w:val="0"/>
        <w:shd w:val="clear" w:color="auto" w:fill="auto"/>
        <w:tabs>
          <w:tab w:pos="2340" w:val="left"/>
        </w:tabs>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by J. Eggeling.</w:t>
        <w:tab/>
      </w:r>
    </w:p>
    <w:p>
      <w:pPr>
        <w:pStyle w:val="Style3"/>
        <w:keepNext w:val="0"/>
        <w:keepLines w:val="0"/>
        <w:widowControl w:val="0"/>
        <w:shd w:val="clear" w:color="auto" w:fill="auto"/>
        <w:tabs>
          <w:tab w:pos="2340" w:val="left"/>
        </w:tabs>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by N. L. Westergaard.</w:t>
      </w:r>
    </w:p>
    <w:p>
      <w:pPr>
        <w:pStyle w:val="Style3"/>
        <w:keepNext w:val="0"/>
        <w:keepLines w:val="0"/>
        <w:widowControl w:val="0"/>
        <w:shd w:val="clear" w:color="auto" w:fill="auto"/>
        <w:tabs>
          <w:tab w:pos="335" w:val="left"/>
        </w:tabs>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Text and commentary, ed. by Th. Aufrecht.</w:t>
      </w:r>
    </w:p>
    <w:p>
      <w:pPr>
        <w:pStyle w:val="Style3"/>
        <w:keepNext w:val="0"/>
        <w:keepLines w:val="0"/>
        <w:widowControl w:val="0"/>
        <w:shd w:val="clear" w:color="auto" w:fill="auto"/>
        <w:tabs>
          <w:tab w:pos="342" w:val="left"/>
        </w:tabs>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In course of publication, with commentaries, at Benares.</w:t>
      </w:r>
    </w:p>
    <w:p>
      <w:pPr>
        <w:pStyle w:val="Style3"/>
        <w:keepNext w:val="0"/>
        <w:keepLines w:val="0"/>
        <w:widowControl w:val="0"/>
        <w:shd w:val="clear" w:color="auto" w:fill="auto"/>
        <w:tabs>
          <w:tab w:pos="338" w:val="left"/>
        </w:tabs>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 by Th. Zachariae.</w:t>
      </w:r>
    </w:p>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 xml:space="preserve"> @@@13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Edited, by H. T. Colebrooke (1808), and by L. Deslongchamps (1839-45).</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grammarian of this name is mentioned as the tutor of King Jay</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4"/>
          <w:szCs w:val="14"/>
          <w:shd w:val="clear" w:color="auto" w:fill="auto"/>
          <w:lang w:val="en-US" w:eastAsia="en-US" w:bidi="en-US"/>
        </w:rPr>
        <w:t>î</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da of Kashmir (755-786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a.d.)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but Ksh</w:t>
      </w:r>
      <w:r>
        <w:rPr>
          <w:rFonts w:ascii="Times New Roman" w:eastAsia="Times New Roman" w:hAnsi="Times New Roman" w:cs="Times New Roman"/>
          <w:color w:val="000000"/>
          <w:spacing w:val="0"/>
          <w:w w:val="100"/>
          <w:position w:val="0"/>
          <w:sz w:val="14"/>
          <w:szCs w:val="14"/>
          <w:shd w:val="clear" w:color="auto" w:fill="auto"/>
          <w:lang w:val="en-US" w:eastAsia="en-US" w:bidi="en-US"/>
        </w:rPr>
        <w:t>î</w:t>
      </w:r>
      <w:r>
        <w:rPr>
          <w:rFonts w:ascii="Times New Roman" w:eastAsia="Times New Roman" w:hAnsi="Times New Roman" w:cs="Times New Roman"/>
          <w:color w:val="000000"/>
          <w:spacing w:val="0"/>
          <w:w w:val="100"/>
          <w:position w:val="0"/>
          <w:sz w:val="14"/>
          <w:szCs w:val="14"/>
          <w:shd w:val="clear" w:color="auto" w:fill="auto"/>
          <w:lang w:val="en-US" w:eastAsia="en-US" w:bidi="en-US"/>
        </w:rPr>
        <w:t>ra, the commentator on Amara is placed by Prof. Aufrecht between the 11th and 12th centuries, because he quotes the AabdftnuS&amp;sana ascribed to Bhojar</w:t>
      </w:r>
      <w:r>
        <w:rPr>
          <w:rFonts w:ascii="Times New Roman" w:eastAsia="Times New Roman" w:hAnsi="Times New Roman" w:cs="Times New Roman"/>
          <w:color w:val="000000"/>
          <w:spacing w:val="0"/>
          <w:w w:val="100"/>
          <w:position w:val="0"/>
          <w:sz w:val="14"/>
          <w:szCs w:val="14"/>
          <w:shd w:val="clear" w:color="auto" w:fill="auto"/>
          <w:lang w:val="en-US" w:eastAsia="en-US" w:bidi="en-US"/>
        </w:rPr>
        <w:t>â</w:t>
      </w:r>
      <w:r>
        <w:rPr>
          <w:rFonts w:ascii="Times New Roman" w:eastAsia="Times New Roman" w:hAnsi="Times New Roman" w:cs="Times New Roman"/>
          <w:color w:val="000000"/>
          <w:spacing w:val="0"/>
          <w:w w:val="100"/>
          <w:position w:val="0"/>
          <w:sz w:val="14"/>
          <w:szCs w:val="14"/>
          <w:shd w:val="clear" w:color="auto" w:fill="auto"/>
          <w:lang w:val="en-US" w:eastAsia="en-US" w:bidi="en-US"/>
        </w:rPr>
        <w:t>ja.</w:t>
      </w:r>
    </w:p>
    <w:p>
      <w:pPr>
        <w:pStyle w:val="Style3"/>
        <w:keepNext w:val="0"/>
        <w:keepLines w:val="0"/>
        <w:widowControl w:val="0"/>
        <w:shd w:val="clear" w:color="auto" w:fill="auto"/>
        <w:tabs>
          <w:tab w:pos="2221"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by Th. Aufrecht (1861)</w:t>
        <w:tab/>
      </w:r>
    </w:p>
    <w:p>
      <w:pPr>
        <w:pStyle w:val="Style3"/>
        <w:keepNext w:val="0"/>
        <w:keepLines w:val="0"/>
        <w:widowControl w:val="0"/>
        <w:shd w:val="clear" w:color="auto" w:fill="auto"/>
        <w:tabs>
          <w:tab w:pos="2221"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Ed. by O. Bohtlingk and C. Rieu (1847).</w:t>
      </w:r>
    </w:p>
    <w:p>
      <w:pPr>
        <w:widowControl w:val="0"/>
        <w:spacing w:line="1" w:lineRule="exact"/>
      </w:pPr>
    </w:p>
    <w:sectPr>
      <w:footnotePr>
        <w:pos w:val="pageBottom"/>
        <w:numFmt w:val="decimal"/>
        <w:numRestart w:val="continuous"/>
      </w:footnotePr>
      <w:type w:val="continuous"/>
      <w:pgSz w:w="12240" w:h="16840"/>
      <w:pgMar w:top="1921" w:left="1489" w:right="1308" w:bottom="11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