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522"/>
        <w:gridCol w:w="886"/>
        <w:gridCol w:w="814"/>
        <w:gridCol w:w="583"/>
        <w:gridCol w:w="896"/>
        <w:gridCol w:w="749"/>
      </w:tblGrid>
      <w:tr>
        <w:trPr>
          <w:trHeight w:val="666"/>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Year</w:t>
            </w:r>
          </w:p>
          <w:p>
            <w:pPr>
              <w:pStyle w:val="Style2"/>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ending</w:t>
            </w:r>
          </w:p>
          <w:p>
            <w:pPr>
              <w:pStyle w:val="Style2"/>
              <w:keepNext w:val="0"/>
              <w:keepLines w:val="0"/>
              <w:widowControl w:val="0"/>
              <w:shd w:val="clear" w:color="auto" w:fill="auto"/>
              <w:bidi w:val="0"/>
              <w:spacing w:line="182" w:lineRule="auto"/>
              <w:ind w:left="0" w:firstLine="0"/>
              <w:jc w:val="left"/>
              <w:rPr>
                <w:sz w:val="14"/>
                <w:szCs w:val="14"/>
              </w:rPr>
            </w:pPr>
            <w:r>
              <w:rPr>
                <w:spacing w:val="0"/>
                <w:w w:val="100"/>
                <w:position w:val="0"/>
                <w:sz w:val="14"/>
                <w:szCs w:val="14"/>
                <w:shd w:val="clear" w:color="auto" w:fill="auto"/>
                <w:lang w:val="en-US" w:eastAsia="en-US" w:bidi="en-US"/>
              </w:rPr>
              <w:t>Nov.</w:t>
            </w:r>
          </w:p>
          <w:p>
            <w:pPr>
              <w:pStyle w:val="Style2"/>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Population.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178" w:lineRule="auto"/>
              <w:ind w:left="0" w:firstLine="0"/>
              <w:jc w:val="left"/>
              <w:rPr>
                <w:sz w:val="14"/>
                <w:szCs w:val="14"/>
              </w:rPr>
            </w:pPr>
            <w:r>
              <w:rPr>
                <w:spacing w:val="0"/>
                <w:w w:val="100"/>
                <w:position w:val="0"/>
                <w:sz w:val="14"/>
                <w:szCs w:val="14"/>
                <w:shd w:val="clear" w:color="auto" w:fill="auto"/>
                <w:lang w:val="en-US" w:eastAsia="en-US" w:bidi="en-US"/>
              </w:rPr>
              <w:t>Number of Depositors.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178" w:lineRule="auto"/>
              <w:ind w:left="0" w:firstLine="0"/>
              <w:jc w:val="left"/>
              <w:rPr>
                <w:sz w:val="14"/>
                <w:szCs w:val="14"/>
              </w:rPr>
            </w:pPr>
            <w:r>
              <w:rPr>
                <w:spacing w:val="0"/>
                <w:w w:val="100"/>
                <w:position w:val="0"/>
                <w:sz w:val="14"/>
                <w:szCs w:val="14"/>
                <w:shd w:val="clear" w:color="auto" w:fill="auto"/>
                <w:lang w:val="en-US" w:eastAsia="en-US" w:bidi="en-US"/>
              </w:rPr>
              <w:t>Percent- age of Popula- tion.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178" w:lineRule="auto"/>
              <w:ind w:left="0" w:firstLine="0"/>
              <w:jc w:val="left"/>
              <w:rPr>
                <w:sz w:val="14"/>
                <w:szCs w:val="14"/>
              </w:rPr>
            </w:pPr>
            <w:r>
              <w:rPr>
                <w:spacing w:val="0"/>
                <w:w w:val="100"/>
                <w:position w:val="0"/>
                <w:sz w:val="14"/>
                <w:szCs w:val="14"/>
                <w:shd w:val="clear" w:color="auto" w:fill="auto"/>
                <w:lang w:val="en-US" w:eastAsia="en-US" w:bidi="en-US"/>
              </w:rPr>
              <w:t>Amount of Deposits.</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line="178" w:lineRule="auto"/>
              <w:ind w:left="0" w:firstLine="0"/>
              <w:jc w:val="left"/>
              <w:rPr>
                <w:sz w:val="14"/>
                <w:szCs w:val="14"/>
              </w:rPr>
            </w:pPr>
            <w:r>
              <w:rPr>
                <w:spacing w:val="0"/>
                <w:w w:val="100"/>
                <w:position w:val="0"/>
                <w:sz w:val="14"/>
                <w:szCs w:val="14"/>
                <w:shd w:val="clear" w:color="auto" w:fill="auto"/>
                <w:lang w:val="en-US" w:eastAsia="en-US" w:bidi="en-US"/>
              </w:rPr>
              <w:t>Per Head of</w:t>
            </w:r>
          </w:p>
          <w:p>
            <w:pPr>
              <w:pStyle w:val="Style2"/>
              <w:keepNext w:val="0"/>
              <w:keepLines w:val="0"/>
              <w:widowControl w:val="0"/>
              <w:shd w:val="clear" w:color="auto" w:fill="auto"/>
              <w:bidi w:val="0"/>
              <w:spacing w:line="178" w:lineRule="auto"/>
              <w:ind w:left="0" w:firstLine="0"/>
              <w:jc w:val="left"/>
              <w:rPr>
                <w:sz w:val="14"/>
                <w:szCs w:val="14"/>
              </w:rPr>
            </w:pPr>
            <w:r>
              <w:rPr>
                <w:spacing w:val="0"/>
                <w:w w:val="100"/>
                <w:position w:val="0"/>
                <w:sz w:val="14"/>
                <w:szCs w:val="14"/>
                <w:shd w:val="clear" w:color="auto" w:fill="auto"/>
                <w:lang w:val="en-US" w:eastAsia="en-US" w:bidi="en-US"/>
              </w:rPr>
              <w:t>Population.</w:t>
            </w:r>
          </w:p>
        </w:tc>
      </w:tr>
      <w:tr>
        <w:trPr>
          <w:trHeight w:val="374"/>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1821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20,893,584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Not known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8"/>
                <w:szCs w:val="8"/>
              </w:rPr>
            </w:pPr>
            <w:r>
              <w:rPr>
                <w:b/>
                <w:bCs/>
                <w:spacing w:val="0"/>
                <w:w w:val="100"/>
                <w:position w:val="0"/>
                <w:sz w:val="8"/>
                <w:szCs w:val="8"/>
                <w:shd w:val="clear" w:color="auto" w:fill="auto"/>
                <w:lang w:val="en-US" w:eastAsia="en-US" w:bidi="en-US"/>
              </w:rPr>
              <w:t>£</w:t>
            </w:r>
          </w:p>
          <w:p>
            <w:pPr>
              <w:pStyle w:val="Style2"/>
              <w:keepNext w:val="0"/>
              <w:keepLines w:val="0"/>
              <w:widowControl w:val="0"/>
              <w:shd w:val="clear" w:color="auto" w:fill="auto"/>
              <w:bidi w:val="0"/>
              <w:spacing w:line="218" w:lineRule="auto"/>
              <w:ind w:left="0" w:firstLine="0"/>
              <w:jc w:val="left"/>
              <w:rPr>
                <w:sz w:val="15"/>
                <w:szCs w:val="15"/>
              </w:rPr>
            </w:pPr>
            <w:r>
              <w:rPr>
                <w:spacing w:val="0"/>
                <w:w w:val="100"/>
                <w:position w:val="0"/>
                <w:sz w:val="15"/>
                <w:szCs w:val="15"/>
                <w:shd w:val="clear" w:color="auto" w:fill="auto"/>
                <w:lang w:val="en-US" w:eastAsia="en-US" w:bidi="en-US"/>
              </w:rPr>
              <w:t>4,740,188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tabs>
                <w:tab w:pos="238" w:val="left"/>
              </w:tabs>
              <w:bidi w:val="0"/>
              <w:spacing w:line="240" w:lineRule="auto"/>
              <w:ind w:left="0" w:firstLine="0"/>
              <w:jc w:val="left"/>
              <w:rPr>
                <w:sz w:val="15"/>
                <w:szCs w:val="15"/>
              </w:rPr>
            </w:pPr>
            <w:r>
              <w:rPr>
                <w:i/>
                <w:iCs/>
                <w:spacing w:val="0"/>
                <w:w w:val="100"/>
                <w:position w:val="0"/>
                <w:sz w:val="15"/>
                <w:szCs w:val="15"/>
                <w:shd w:val="clear" w:color="auto" w:fill="auto"/>
                <w:lang w:val="en-US" w:eastAsia="en-US" w:bidi="en-US"/>
              </w:rPr>
              <w:t>£</w:t>
              <w:tab/>
              <w:t>s. d.</w:t>
            </w:r>
          </w:p>
          <w:p>
            <w:pPr>
              <w:pStyle w:val="Style2"/>
              <w:keepNext w:val="0"/>
              <w:keepLines w:val="0"/>
              <w:widowControl w:val="0"/>
              <w:shd w:val="clear" w:color="auto" w:fill="auto"/>
              <w:tabs>
                <w:tab w:pos="209" w:val="left"/>
                <w:tab w:pos="392" w:val="left"/>
              </w:tabs>
              <w:bidi w:val="0"/>
              <w:spacing w:line="218" w:lineRule="auto"/>
              <w:ind w:left="0" w:firstLine="0"/>
              <w:jc w:val="left"/>
              <w:rPr>
                <w:sz w:val="15"/>
                <w:szCs w:val="15"/>
              </w:rPr>
            </w:pPr>
            <w:r>
              <w:rPr>
                <w:spacing w:val="0"/>
                <w:w w:val="100"/>
                <w:position w:val="0"/>
                <w:sz w:val="15"/>
                <w:szCs w:val="15"/>
                <w:shd w:val="clear" w:color="auto" w:fill="auto"/>
                <w:lang w:val="en-US" w:eastAsia="en-US" w:bidi="en-US"/>
              </w:rPr>
              <w:t>0</w:t>
              <w:tab/>
              <w:t>4</w:t>
              <w:tab/>
              <w:t>6</w:t>
            </w:r>
          </w:p>
        </w:tc>
      </w:tr>
      <w:tr>
        <w:trPr>
          <w:trHeight w:val="155"/>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1831</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24,028,584</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429,400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14,698,635</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0 12 3</w:t>
            </w:r>
          </w:p>
        </w:tc>
      </w:tr>
      <w:tr>
        <w:trPr>
          <w:trHeight w:val="155"/>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1841</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26,730,929</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841,204</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3</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24,536,971</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0 18 4</w:t>
            </w:r>
          </w:p>
        </w:tc>
      </w:tr>
      <w:tr>
        <w:trPr>
          <w:trHeight w:val="155"/>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1851</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27,390,629</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1,161,838</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4</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30,445,568</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1 2 3</w:t>
            </w:r>
          </w:p>
        </w:tc>
      </w:tr>
      <w:tr>
        <w:trPr>
          <w:trHeight w:val="270"/>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1861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28,927,485</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1,609,102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6</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41,542,219</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1 8 9</w:t>
            </w:r>
          </w:p>
        </w:tc>
      </w:tr>
    </w:tbl>
    <w:p>
      <w:pPr>
        <w:widowControl w:val="0"/>
        <w:spacing w:after="39" w:line="1" w:lineRule="exact"/>
      </w:pPr>
    </w:p>
    <w:p>
      <w:pPr>
        <w:pStyle w:val="Style8"/>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From this date the progress of the post office savings banks has also to be brought into account, statistics of which have already been given under POST </w:t>
      </w:r>
      <w:r>
        <w:rPr>
          <w:smallCaps/>
          <w:spacing w:val="0"/>
          <w:w w:val="100"/>
          <w:position w:val="0"/>
          <w:shd w:val="clear" w:color="auto" w:fill="auto"/>
          <w:lang w:val="en-US" w:eastAsia="en-US" w:bidi="en-US"/>
        </w:rPr>
        <w:t>Office :—</w:t>
      </w:r>
    </w:p>
    <w:tbl>
      <w:tblPr>
        <w:tblOverlap w:val="never"/>
        <w:jc w:val="left"/>
        <w:tblLayout w:type="fixed"/>
      </w:tblPr>
      <w:tblGrid>
        <w:gridCol w:w="504"/>
        <w:gridCol w:w="814"/>
        <w:gridCol w:w="155"/>
        <w:gridCol w:w="817"/>
        <w:gridCol w:w="162"/>
        <w:gridCol w:w="817"/>
        <w:gridCol w:w="155"/>
        <w:gridCol w:w="666"/>
        <w:gridCol w:w="515"/>
      </w:tblGrid>
      <w:tr>
        <w:trPr>
          <w:trHeight w:val="320"/>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Year.</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Population.</w:t>
            </w:r>
          </w:p>
        </w:tc>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Number of Depositors.</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Percent- age of Popula-</w:t>
            </w:r>
          </w:p>
          <w:p>
            <w:pPr>
              <w:pStyle w:val="Style2"/>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tion.</w:t>
            </w:r>
          </w:p>
        </w:tc>
      </w:tr>
      <w:tr>
        <w:trPr>
          <w:trHeight w:val="425"/>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line="178" w:lineRule="auto"/>
              <w:ind w:left="0" w:firstLine="0"/>
              <w:jc w:val="left"/>
              <w:rPr>
                <w:sz w:val="14"/>
                <w:szCs w:val="14"/>
              </w:rPr>
            </w:pPr>
            <w:r>
              <w:rPr>
                <w:spacing w:val="0"/>
                <w:w w:val="100"/>
                <w:position w:val="0"/>
                <w:sz w:val="14"/>
                <w:szCs w:val="14"/>
                <w:shd w:val="clear" w:color="auto" w:fill="auto"/>
                <w:lang w:val="en-US" w:eastAsia="en-US" w:bidi="en-US"/>
              </w:rPr>
              <w:t>Trustee Savings Banks.</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line="170" w:lineRule="auto"/>
              <w:ind w:left="0" w:firstLine="0"/>
              <w:jc w:val="left"/>
              <w:rPr>
                <w:sz w:val="14"/>
                <w:szCs w:val="14"/>
              </w:rPr>
            </w:pPr>
            <w:r>
              <w:rPr>
                <w:spacing w:val="0"/>
                <w:w w:val="100"/>
                <w:position w:val="0"/>
                <w:sz w:val="14"/>
                <w:szCs w:val="14"/>
                <w:shd w:val="clear" w:color="auto" w:fill="auto"/>
                <w:lang w:val="en-US" w:eastAsia="en-US" w:bidi="en-US"/>
              </w:rPr>
              <w:t xml:space="preserve">Post </w:t>
            </w:r>
            <w:r>
              <w:rPr>
                <w:spacing w:val="0"/>
                <w:w w:val="100"/>
                <w:position w:val="0"/>
                <w:sz w:val="15"/>
                <w:szCs w:val="15"/>
                <w:shd w:val="clear" w:color="auto" w:fill="auto"/>
                <w:lang w:val="en-US" w:eastAsia="en-US" w:bidi="en-US"/>
              </w:rPr>
              <w:t xml:space="preserve">office </w:t>
            </w:r>
            <w:r>
              <w:rPr>
                <w:spacing w:val="0"/>
                <w:w w:val="100"/>
                <w:position w:val="0"/>
                <w:sz w:val="14"/>
                <w:szCs w:val="14"/>
                <w:shd w:val="clear" w:color="auto" w:fill="auto"/>
                <w:lang w:val="en-US" w:eastAsia="en-US" w:bidi="en-US"/>
              </w:rPr>
              <w:t>Savings Banks.</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Total.</w:t>
            </w:r>
          </w:p>
        </w:tc>
        <w:tc>
          <w:tcPr>
            <w:vMerge/>
            <w:tcBorders>
              <w:left w:val="single" w:sz="4"/>
              <w:right w:val="single" w:sz="4"/>
            </w:tcBorders>
            <w:shd w:val="clear" w:color="auto" w:fill="FFFFFF"/>
            <w:vAlign w:val="center"/>
          </w:tcPr>
          <w:p>
            <w:pPr/>
          </w:p>
        </w:tc>
      </w:tr>
      <w:tr>
        <w:trPr>
          <w:trHeight w:val="630"/>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1871</w:t>
            </w:r>
          </w:p>
          <w:p>
            <w:pPr>
              <w:pStyle w:val="Style2"/>
              <w:keepNext w:val="0"/>
              <w:keepLines w:val="0"/>
              <w:widowControl w:val="0"/>
              <w:shd w:val="clear" w:color="auto" w:fill="auto"/>
              <w:bidi w:val="0"/>
              <w:spacing w:line="204" w:lineRule="auto"/>
              <w:ind w:left="0" w:firstLine="0"/>
              <w:jc w:val="left"/>
              <w:rPr>
                <w:sz w:val="15"/>
                <w:szCs w:val="15"/>
              </w:rPr>
            </w:pPr>
            <w:r>
              <w:rPr>
                <w:spacing w:val="0"/>
                <w:w w:val="100"/>
                <w:position w:val="0"/>
                <w:sz w:val="15"/>
                <w:szCs w:val="15"/>
                <w:shd w:val="clear" w:color="auto" w:fill="auto"/>
                <w:lang w:val="en-US" w:eastAsia="en-US" w:bidi="en-US"/>
              </w:rPr>
              <w:t>1881</w:t>
            </w:r>
          </w:p>
          <w:p>
            <w:pPr>
              <w:pStyle w:val="Style2"/>
              <w:keepNext w:val="0"/>
              <w:keepLines w:val="0"/>
              <w:widowControl w:val="0"/>
              <w:shd w:val="clear" w:color="auto" w:fill="auto"/>
              <w:bidi w:val="0"/>
              <w:spacing w:line="214" w:lineRule="auto"/>
              <w:ind w:left="0" w:firstLine="0"/>
              <w:jc w:val="left"/>
              <w:rPr>
                <w:sz w:val="15"/>
                <w:szCs w:val="15"/>
              </w:rPr>
            </w:pPr>
            <w:r>
              <w:rPr>
                <w:spacing w:val="0"/>
                <w:w w:val="100"/>
                <w:position w:val="0"/>
                <w:sz w:val="15"/>
                <w:szCs w:val="15"/>
                <w:shd w:val="clear" w:color="auto" w:fill="auto"/>
                <w:lang w:val="en-US" w:eastAsia="en-US" w:bidi="en-US"/>
              </w:rPr>
              <w:t>1884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31,845,379</w:t>
            </w:r>
          </w:p>
          <w:p>
            <w:pPr>
              <w:pStyle w:val="Style2"/>
              <w:keepNext w:val="0"/>
              <w:keepLines w:val="0"/>
              <w:widowControl w:val="0"/>
              <w:shd w:val="clear" w:color="auto" w:fill="auto"/>
              <w:bidi w:val="0"/>
              <w:spacing w:line="209" w:lineRule="auto"/>
              <w:ind w:left="0" w:firstLine="0"/>
              <w:jc w:val="left"/>
              <w:rPr>
                <w:sz w:val="15"/>
                <w:szCs w:val="15"/>
              </w:rPr>
            </w:pPr>
            <w:r>
              <w:rPr>
                <w:spacing w:val="0"/>
                <w:w w:val="100"/>
                <w:position w:val="0"/>
                <w:sz w:val="15"/>
                <w:szCs w:val="15"/>
                <w:shd w:val="clear" w:color="auto" w:fill="auto"/>
                <w:lang w:val="en-US" w:eastAsia="en-US" w:bidi="en-US"/>
              </w:rPr>
              <w:t>35,241,482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1,404,078</w:t>
            </w:r>
          </w:p>
          <w:p>
            <w:pPr>
              <w:pStyle w:val="Style2"/>
              <w:keepNext w:val="0"/>
              <w:keepLines w:val="0"/>
              <w:widowControl w:val="0"/>
              <w:shd w:val="clear" w:color="auto" w:fill="auto"/>
              <w:bidi w:val="0"/>
              <w:spacing w:line="214" w:lineRule="auto"/>
              <w:ind w:left="0" w:firstLine="0"/>
              <w:jc w:val="left"/>
              <w:rPr>
                <w:sz w:val="15"/>
                <w:szCs w:val="15"/>
              </w:rPr>
            </w:pPr>
            <w:r>
              <w:rPr>
                <w:spacing w:val="0"/>
                <w:w w:val="100"/>
                <w:position w:val="0"/>
                <w:sz w:val="15"/>
                <w:szCs w:val="15"/>
                <w:shd w:val="clear" w:color="auto" w:fill="auto"/>
                <w:lang w:val="en-US" w:eastAsia="en-US" w:bidi="en-US"/>
              </w:rPr>
              <w:t>1,532,486</w:t>
            </w:r>
          </w:p>
          <w:p>
            <w:pPr>
              <w:pStyle w:val="Style2"/>
              <w:keepNext w:val="0"/>
              <w:keepLines w:val="0"/>
              <w:widowControl w:val="0"/>
              <w:shd w:val="clear" w:color="auto" w:fill="auto"/>
              <w:bidi w:val="0"/>
              <w:spacing w:line="214" w:lineRule="auto"/>
              <w:ind w:left="0" w:firstLine="0"/>
              <w:jc w:val="left"/>
              <w:rPr>
                <w:sz w:val="15"/>
                <w:szCs w:val="15"/>
              </w:rPr>
            </w:pPr>
            <w:r>
              <w:rPr>
                <w:spacing w:val="0"/>
                <w:w w:val="100"/>
                <w:position w:val="0"/>
                <w:sz w:val="15"/>
                <w:szCs w:val="15"/>
                <w:shd w:val="clear" w:color="auto" w:fill="auto"/>
                <w:lang w:val="en-US" w:eastAsia="en-US" w:bidi="en-US"/>
              </w:rPr>
              <w:t>1,582,474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1,303,492</w:t>
            </w:r>
          </w:p>
          <w:p>
            <w:pPr>
              <w:pStyle w:val="Style2"/>
              <w:keepNext w:val="0"/>
              <w:keepLines w:val="0"/>
              <w:widowControl w:val="0"/>
              <w:shd w:val="clear" w:color="auto" w:fill="auto"/>
              <w:bidi w:val="0"/>
              <w:spacing w:line="214" w:lineRule="auto"/>
              <w:ind w:left="0" w:firstLine="0"/>
              <w:jc w:val="left"/>
              <w:rPr>
                <w:sz w:val="15"/>
                <w:szCs w:val="15"/>
              </w:rPr>
            </w:pPr>
            <w:r>
              <w:rPr>
                <w:spacing w:val="0"/>
                <w:w w:val="100"/>
                <w:position w:val="0"/>
                <w:sz w:val="15"/>
                <w:szCs w:val="15"/>
                <w:shd w:val="clear" w:color="auto" w:fill="auto"/>
                <w:lang w:val="en-US" w:eastAsia="en-US" w:bidi="en-US"/>
              </w:rPr>
              <w:t>2,607,612</w:t>
            </w:r>
          </w:p>
          <w:p>
            <w:pPr>
              <w:pStyle w:val="Style2"/>
              <w:keepNext w:val="0"/>
              <w:keepLines w:val="0"/>
              <w:widowControl w:val="0"/>
              <w:shd w:val="clear" w:color="auto" w:fill="auto"/>
              <w:bidi w:val="0"/>
              <w:spacing w:line="218" w:lineRule="auto"/>
              <w:ind w:left="0" w:firstLine="0"/>
              <w:jc w:val="left"/>
              <w:rPr>
                <w:sz w:val="15"/>
                <w:szCs w:val="15"/>
              </w:rPr>
            </w:pPr>
            <w:r>
              <w:rPr>
                <w:spacing w:val="0"/>
                <w:w w:val="100"/>
                <w:position w:val="0"/>
                <w:sz w:val="15"/>
                <w:szCs w:val="15"/>
                <w:shd w:val="clear" w:color="auto" w:fill="auto"/>
                <w:lang w:val="en-US" w:eastAsia="en-US" w:bidi="en-US"/>
              </w:rPr>
              <w:t>3,333,675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2,707,570</w:t>
            </w:r>
          </w:p>
          <w:p>
            <w:pPr>
              <w:pStyle w:val="Style2"/>
              <w:keepNext w:val="0"/>
              <w:keepLines w:val="0"/>
              <w:widowControl w:val="0"/>
              <w:shd w:val="clear" w:color="auto" w:fill="auto"/>
              <w:bidi w:val="0"/>
              <w:spacing w:line="218" w:lineRule="auto"/>
              <w:ind w:left="0" w:firstLine="0"/>
              <w:jc w:val="left"/>
              <w:rPr>
                <w:sz w:val="15"/>
                <w:szCs w:val="15"/>
              </w:rPr>
            </w:pPr>
            <w:r>
              <w:rPr>
                <w:spacing w:val="0"/>
                <w:w w:val="100"/>
                <w:position w:val="0"/>
                <w:sz w:val="15"/>
                <w:szCs w:val="15"/>
                <w:shd w:val="clear" w:color="auto" w:fill="auto"/>
                <w:lang w:val="en-US" w:eastAsia="en-US" w:bidi="en-US"/>
              </w:rPr>
              <w:t>4,140,098</w:t>
            </w:r>
          </w:p>
          <w:p>
            <w:pPr>
              <w:pStyle w:val="Style2"/>
              <w:keepNext w:val="0"/>
              <w:keepLines w:val="0"/>
              <w:widowControl w:val="0"/>
              <w:shd w:val="clear" w:color="auto" w:fill="auto"/>
              <w:bidi w:val="0"/>
              <w:spacing w:line="214" w:lineRule="auto"/>
              <w:ind w:left="0" w:firstLine="0"/>
              <w:jc w:val="left"/>
              <w:rPr>
                <w:sz w:val="15"/>
                <w:szCs w:val="15"/>
              </w:rPr>
            </w:pPr>
            <w:r>
              <w:rPr>
                <w:spacing w:val="0"/>
                <w:w w:val="100"/>
                <w:position w:val="0"/>
                <w:sz w:val="15"/>
                <w:szCs w:val="15"/>
                <w:shd w:val="clear" w:color="auto" w:fill="auto"/>
                <w:lang w:val="en-US" w:eastAsia="en-US" w:bidi="en-US"/>
              </w:rPr>
              <w:t>4,916,149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12</w:t>
            </w:r>
          </w:p>
        </w:tc>
      </w:tr>
      <w:tr>
        <w:trPr>
          <w:trHeight w:val="324"/>
        </w:trPr>
        <w:tc>
          <w:tcPr>
            <w:vMerge w:val="restart"/>
            <w:tcBorders>
              <w:top w:val="single" w:sz="4"/>
              <w:left w:val="single" w:sz="4"/>
            </w:tcBorders>
            <w:shd w:val="clear" w:color="auto" w:fill="FFFFFF"/>
            <w:vAlign w:val="top"/>
          </w:tcPr>
          <w:p>
            <w:pPr>
              <w:widowControl w:val="0"/>
              <w:rPr>
                <w:sz w:val="10"/>
                <w:szCs w:val="10"/>
              </w:rPr>
            </w:pPr>
          </w:p>
        </w:tc>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Amount of Deposits.</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line="175" w:lineRule="auto"/>
              <w:ind w:left="0" w:firstLine="0"/>
              <w:jc w:val="left"/>
              <w:rPr>
                <w:sz w:val="14"/>
                <w:szCs w:val="14"/>
              </w:rPr>
            </w:pPr>
            <w:r>
              <w:rPr>
                <w:spacing w:val="0"/>
                <w:w w:val="100"/>
                <w:position w:val="0"/>
                <w:sz w:val="14"/>
                <w:szCs w:val="14"/>
                <w:shd w:val="clear" w:color="auto" w:fill="auto"/>
                <w:lang w:val="en-US" w:eastAsia="en-US" w:bidi="en-US"/>
              </w:rPr>
              <w:t>Per Head of Popula- tion.</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line="182" w:lineRule="auto"/>
              <w:ind w:left="0" w:firstLine="0"/>
              <w:jc w:val="left"/>
              <w:rPr>
                <w:sz w:val="14"/>
                <w:szCs w:val="14"/>
              </w:rPr>
            </w:pPr>
            <w:r>
              <w:rPr>
                <w:spacing w:val="0"/>
                <w:w w:val="100"/>
                <w:position w:val="0"/>
                <w:sz w:val="14"/>
                <w:szCs w:val="14"/>
                <w:shd w:val="clear" w:color="auto" w:fill="auto"/>
                <w:lang w:val="en-US" w:eastAsia="en-US" w:bidi="en-US"/>
              </w:rPr>
              <w:t>Per De- positor.</w:t>
            </w:r>
          </w:p>
        </w:tc>
      </w:tr>
      <w:tr>
        <w:trPr>
          <w:trHeight w:val="414"/>
        </w:trPr>
        <w:tc>
          <w:tcPr>
            <w:vMerge/>
            <w:tcBorders>
              <w:left w:val="single" w:sz="4"/>
            </w:tcBorders>
            <w:shd w:val="clear" w:color="auto" w:fill="FFFFFF"/>
            <w:vAlign w:val="top"/>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Trustee</w:t>
            </w:r>
          </w:p>
          <w:p>
            <w:pPr>
              <w:pStyle w:val="Style2"/>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Savings Banks.</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line="182" w:lineRule="auto"/>
              <w:ind w:left="0" w:firstLine="0"/>
              <w:jc w:val="left"/>
              <w:rPr>
                <w:sz w:val="14"/>
                <w:szCs w:val="14"/>
              </w:rPr>
            </w:pPr>
            <w:r>
              <w:rPr>
                <w:spacing w:val="0"/>
                <w:w w:val="100"/>
                <w:position w:val="0"/>
                <w:sz w:val="14"/>
                <w:szCs w:val="14"/>
                <w:shd w:val="clear" w:color="auto" w:fill="auto"/>
                <w:lang w:val="en-US" w:eastAsia="en-US" w:bidi="en-US"/>
              </w:rPr>
              <w:t>Post office Savings Banks.</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Total.</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803"/>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1871</w:t>
            </w:r>
          </w:p>
          <w:p>
            <w:pPr>
              <w:pStyle w:val="Style2"/>
              <w:keepNext w:val="0"/>
              <w:keepLines w:val="0"/>
              <w:widowControl w:val="0"/>
              <w:shd w:val="clear" w:color="auto" w:fill="auto"/>
              <w:bidi w:val="0"/>
              <w:spacing w:line="209" w:lineRule="auto"/>
              <w:ind w:left="0" w:firstLine="0"/>
              <w:jc w:val="left"/>
              <w:rPr>
                <w:sz w:val="15"/>
                <w:szCs w:val="15"/>
              </w:rPr>
            </w:pPr>
            <w:r>
              <w:rPr>
                <w:spacing w:val="0"/>
                <w:w w:val="100"/>
                <w:position w:val="0"/>
                <w:sz w:val="15"/>
                <w:szCs w:val="15"/>
                <w:shd w:val="clear" w:color="auto" w:fill="auto"/>
                <w:lang w:val="en-US" w:eastAsia="en-US" w:bidi="en-US"/>
              </w:rPr>
              <w:t>1881</w:t>
            </w:r>
          </w:p>
          <w:p>
            <w:pPr>
              <w:pStyle w:val="Style2"/>
              <w:keepNext w:val="0"/>
              <w:keepLines w:val="0"/>
              <w:widowControl w:val="0"/>
              <w:shd w:val="clear" w:color="auto" w:fill="auto"/>
              <w:bidi w:val="0"/>
              <w:spacing w:line="209" w:lineRule="auto"/>
              <w:ind w:left="0" w:firstLine="0"/>
              <w:jc w:val="left"/>
              <w:rPr>
                <w:sz w:val="15"/>
                <w:szCs w:val="15"/>
              </w:rPr>
            </w:pPr>
            <w:r>
              <w:rPr>
                <w:spacing w:val="0"/>
                <w:w w:val="100"/>
                <w:position w:val="0"/>
                <w:sz w:val="15"/>
                <w:szCs w:val="15"/>
                <w:shd w:val="clear" w:color="auto" w:fill="auto"/>
                <w:lang w:val="en-US" w:eastAsia="en-US" w:bidi="en-US"/>
              </w:rPr>
              <w:t>1884</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8"/>
                <w:szCs w:val="8"/>
              </w:rPr>
            </w:pPr>
            <w:r>
              <w:rPr>
                <w:b/>
                <w:bCs/>
                <w:spacing w:val="0"/>
                <w:w w:val="100"/>
                <w:position w:val="0"/>
                <w:sz w:val="8"/>
                <w:szCs w:val="8"/>
                <w:shd w:val="clear" w:color="auto" w:fill="auto"/>
                <w:lang w:val="en-US" w:eastAsia="en-US" w:bidi="en-US"/>
              </w:rPr>
              <w:t>£</w:t>
            </w:r>
          </w:p>
          <w:p>
            <w:pPr>
              <w:pStyle w:val="Style2"/>
              <w:keepNext w:val="0"/>
              <w:keepLines w:val="0"/>
              <w:widowControl w:val="0"/>
              <w:shd w:val="clear" w:color="auto" w:fill="auto"/>
              <w:bidi w:val="0"/>
              <w:spacing w:line="209" w:lineRule="auto"/>
              <w:ind w:left="0" w:firstLine="0"/>
              <w:jc w:val="left"/>
              <w:rPr>
                <w:sz w:val="15"/>
                <w:szCs w:val="15"/>
              </w:rPr>
            </w:pPr>
            <w:r>
              <w:rPr>
                <w:spacing w:val="0"/>
                <w:w w:val="100"/>
                <w:position w:val="0"/>
                <w:sz w:val="15"/>
                <w:szCs w:val="15"/>
                <w:shd w:val="clear" w:color="auto" w:fill="auto"/>
                <w:lang w:val="en-US" w:eastAsia="en-US" w:bidi="en-US"/>
              </w:rPr>
              <w:t>38,820,458</w:t>
            </w:r>
          </w:p>
          <w:p>
            <w:pPr>
              <w:pStyle w:val="Style2"/>
              <w:keepNext w:val="0"/>
              <w:keepLines w:val="0"/>
              <w:widowControl w:val="0"/>
              <w:shd w:val="clear" w:color="auto" w:fill="auto"/>
              <w:bidi w:val="0"/>
              <w:spacing w:line="214" w:lineRule="auto"/>
              <w:ind w:left="0" w:firstLine="0"/>
              <w:jc w:val="left"/>
              <w:rPr>
                <w:sz w:val="15"/>
                <w:szCs w:val="15"/>
              </w:rPr>
            </w:pPr>
            <w:r>
              <w:rPr>
                <w:spacing w:val="0"/>
                <w:w w:val="100"/>
                <w:position w:val="0"/>
                <w:sz w:val="15"/>
                <w:szCs w:val="15"/>
                <w:shd w:val="clear" w:color="auto" w:fill="auto"/>
                <w:lang w:val="en-US" w:eastAsia="en-US" w:bidi="en-US"/>
              </w:rPr>
              <w:t>44,137,855</w:t>
            </w:r>
          </w:p>
          <w:p>
            <w:pPr>
              <w:pStyle w:val="Style2"/>
              <w:keepNext w:val="0"/>
              <w:keepLines w:val="0"/>
              <w:widowControl w:val="0"/>
              <w:shd w:val="clear" w:color="auto" w:fill="auto"/>
              <w:bidi w:val="0"/>
              <w:spacing w:line="223" w:lineRule="auto"/>
              <w:ind w:left="0" w:firstLine="0"/>
              <w:jc w:val="left"/>
              <w:rPr>
                <w:sz w:val="15"/>
                <w:szCs w:val="15"/>
              </w:rPr>
            </w:pPr>
            <w:r>
              <w:rPr>
                <w:spacing w:val="0"/>
                <w:w w:val="100"/>
                <w:position w:val="0"/>
                <w:sz w:val="15"/>
                <w:szCs w:val="15"/>
                <w:shd w:val="clear" w:color="auto" w:fill="auto"/>
                <w:lang w:val="en-US" w:eastAsia="en-US" w:bidi="en-US"/>
              </w:rPr>
              <w:t>45,840,887</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w:t>
            </w:r>
          </w:p>
          <w:p>
            <w:pPr>
              <w:pStyle w:val="Style2"/>
              <w:keepNext w:val="0"/>
              <w:keepLines w:val="0"/>
              <w:widowControl w:val="0"/>
              <w:shd w:val="clear" w:color="auto" w:fill="auto"/>
              <w:bidi w:val="0"/>
              <w:spacing w:line="204" w:lineRule="auto"/>
              <w:ind w:left="0" w:firstLine="0"/>
              <w:jc w:val="left"/>
              <w:rPr>
                <w:sz w:val="15"/>
                <w:szCs w:val="15"/>
              </w:rPr>
            </w:pPr>
            <w:r>
              <w:rPr>
                <w:spacing w:val="0"/>
                <w:w w:val="100"/>
                <w:position w:val="0"/>
                <w:sz w:val="15"/>
                <w:szCs w:val="15"/>
                <w:shd w:val="clear" w:color="auto" w:fill="auto"/>
                <w:lang w:val="en-US" w:eastAsia="en-US" w:bidi="en-US"/>
              </w:rPr>
              <w:t>17,025,004</w:t>
            </w:r>
          </w:p>
          <w:p>
            <w:pPr>
              <w:pStyle w:val="Style2"/>
              <w:keepNext w:val="0"/>
              <w:keepLines w:val="0"/>
              <w:widowControl w:val="0"/>
              <w:shd w:val="clear" w:color="auto" w:fill="auto"/>
              <w:bidi w:val="0"/>
              <w:spacing w:line="223" w:lineRule="auto"/>
              <w:ind w:left="0" w:firstLine="0"/>
              <w:jc w:val="left"/>
              <w:rPr>
                <w:sz w:val="15"/>
                <w:szCs w:val="15"/>
              </w:rPr>
            </w:pPr>
            <w:r>
              <w:rPr>
                <w:spacing w:val="0"/>
                <w:w w:val="100"/>
                <w:position w:val="0"/>
                <w:sz w:val="15"/>
                <w:szCs w:val="15"/>
                <w:shd w:val="clear" w:color="auto" w:fill="auto"/>
                <w:lang w:val="en-US" w:eastAsia="en-US" w:bidi="en-US"/>
              </w:rPr>
              <w:t>36,194,495</w:t>
            </w:r>
          </w:p>
          <w:p>
            <w:pPr>
              <w:pStyle w:val="Style2"/>
              <w:keepNext w:val="0"/>
              <w:keepLines w:val="0"/>
              <w:widowControl w:val="0"/>
              <w:shd w:val="clear" w:color="auto" w:fill="auto"/>
              <w:bidi w:val="0"/>
              <w:spacing w:line="214" w:lineRule="auto"/>
              <w:ind w:left="0" w:firstLine="0"/>
              <w:jc w:val="left"/>
              <w:rPr>
                <w:sz w:val="15"/>
                <w:szCs w:val="15"/>
              </w:rPr>
            </w:pPr>
            <w:r>
              <w:rPr>
                <w:spacing w:val="0"/>
                <w:w w:val="100"/>
                <w:position w:val="0"/>
                <w:sz w:val="15"/>
                <w:szCs w:val="15"/>
                <w:shd w:val="clear" w:color="auto" w:fill="auto"/>
                <w:lang w:val="en-US" w:eastAsia="en-US" w:bidi="en-US"/>
              </w:rPr>
              <w:t>44,773,773</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8"/>
                <w:szCs w:val="8"/>
              </w:rPr>
            </w:pPr>
            <w:r>
              <w:rPr>
                <w:b/>
                <w:bCs/>
                <w:spacing w:val="0"/>
                <w:w w:val="100"/>
                <w:position w:val="0"/>
                <w:sz w:val="8"/>
                <w:szCs w:val="8"/>
                <w:shd w:val="clear" w:color="auto" w:fill="auto"/>
                <w:lang w:val="en-US" w:eastAsia="en-US" w:bidi="en-US"/>
              </w:rPr>
              <w:t>£</w:t>
            </w:r>
          </w:p>
          <w:p>
            <w:pPr>
              <w:pStyle w:val="Style2"/>
              <w:keepNext w:val="0"/>
              <w:keepLines w:val="0"/>
              <w:widowControl w:val="0"/>
              <w:shd w:val="clear" w:color="auto" w:fill="auto"/>
              <w:bidi w:val="0"/>
              <w:spacing w:line="209" w:lineRule="auto"/>
              <w:ind w:left="0" w:firstLine="0"/>
              <w:jc w:val="left"/>
              <w:rPr>
                <w:sz w:val="15"/>
                <w:szCs w:val="15"/>
              </w:rPr>
            </w:pPr>
            <w:r>
              <w:rPr>
                <w:spacing w:val="0"/>
                <w:w w:val="100"/>
                <w:position w:val="0"/>
                <w:sz w:val="15"/>
                <w:szCs w:val="15"/>
                <w:shd w:val="clear" w:color="auto" w:fill="auto"/>
                <w:lang w:val="en-US" w:eastAsia="en-US" w:bidi="en-US"/>
              </w:rPr>
              <w:t>55,845,462</w:t>
            </w:r>
          </w:p>
          <w:p>
            <w:pPr>
              <w:pStyle w:val="Style2"/>
              <w:keepNext w:val="0"/>
              <w:keepLines w:val="0"/>
              <w:widowControl w:val="0"/>
              <w:shd w:val="clear" w:color="auto" w:fill="auto"/>
              <w:bidi w:val="0"/>
              <w:spacing w:line="218" w:lineRule="auto"/>
              <w:ind w:left="0" w:firstLine="0"/>
              <w:jc w:val="left"/>
              <w:rPr>
                <w:sz w:val="15"/>
                <w:szCs w:val="15"/>
              </w:rPr>
            </w:pPr>
            <w:r>
              <w:rPr>
                <w:spacing w:val="0"/>
                <w:w w:val="100"/>
                <w:position w:val="0"/>
                <w:sz w:val="15"/>
                <w:szCs w:val="15"/>
                <w:shd w:val="clear" w:color="auto" w:fill="auto"/>
                <w:lang w:val="en-US" w:eastAsia="en-US" w:bidi="en-US"/>
              </w:rPr>
              <w:t>80,332,350</w:t>
            </w:r>
          </w:p>
          <w:p>
            <w:pPr>
              <w:pStyle w:val="Style2"/>
              <w:keepNext w:val="0"/>
              <w:keepLines w:val="0"/>
              <w:widowControl w:val="0"/>
              <w:shd w:val="clear" w:color="auto" w:fill="auto"/>
              <w:bidi w:val="0"/>
              <w:spacing w:line="214" w:lineRule="auto"/>
              <w:ind w:left="0" w:firstLine="0"/>
              <w:jc w:val="left"/>
              <w:rPr>
                <w:sz w:val="15"/>
                <w:szCs w:val="15"/>
              </w:rPr>
            </w:pPr>
            <w:r>
              <w:rPr>
                <w:spacing w:val="0"/>
                <w:w w:val="100"/>
                <w:position w:val="0"/>
                <w:sz w:val="15"/>
                <w:szCs w:val="15"/>
                <w:shd w:val="clear" w:color="auto" w:fill="auto"/>
                <w:lang w:val="en-US" w:eastAsia="en-US" w:bidi="en-US"/>
              </w:rPr>
              <w:t>90,614,660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 xml:space="preserve">£ S. </w:t>
            </w:r>
            <w:r>
              <w:rPr>
                <w:i/>
                <w:iCs/>
                <w:spacing w:val="0"/>
                <w:w w:val="100"/>
                <w:position w:val="0"/>
                <w:sz w:val="15"/>
                <w:szCs w:val="15"/>
                <w:shd w:val="clear" w:color="auto" w:fill="auto"/>
                <w:lang w:val="en-US" w:eastAsia="en-US" w:bidi="en-US"/>
              </w:rPr>
              <w:t>d.</w:t>
            </w:r>
          </w:p>
          <w:p>
            <w:pPr>
              <w:pStyle w:val="Style2"/>
              <w:keepNext w:val="0"/>
              <w:keepLines w:val="0"/>
              <w:widowControl w:val="0"/>
              <w:numPr>
                <w:ilvl w:val="0"/>
                <w:numId w:val="1"/>
              </w:numPr>
              <w:shd w:val="clear" w:color="auto" w:fill="auto"/>
              <w:tabs>
                <w:tab w:pos="155" w:val="left"/>
              </w:tabs>
              <w:bidi w:val="0"/>
              <w:spacing w:line="214" w:lineRule="auto"/>
              <w:ind w:left="0" w:firstLine="0"/>
              <w:jc w:val="left"/>
              <w:rPr>
                <w:sz w:val="15"/>
                <w:szCs w:val="15"/>
              </w:rPr>
            </w:pPr>
            <w:r>
              <w:rPr>
                <w:spacing w:val="0"/>
                <w:w w:val="100"/>
                <w:position w:val="0"/>
                <w:sz w:val="15"/>
                <w:szCs w:val="15"/>
                <w:shd w:val="clear" w:color="auto" w:fill="auto"/>
                <w:lang w:val="en-US" w:eastAsia="en-US" w:bidi="en-US"/>
              </w:rPr>
              <w:t>15 0</w:t>
            </w:r>
          </w:p>
          <w:p>
            <w:pPr>
              <w:pStyle w:val="Style2"/>
              <w:keepNext w:val="0"/>
              <w:keepLines w:val="0"/>
              <w:widowControl w:val="0"/>
              <w:numPr>
                <w:ilvl w:val="0"/>
                <w:numId w:val="1"/>
              </w:numPr>
              <w:shd w:val="clear" w:color="auto" w:fill="auto"/>
              <w:tabs>
                <w:tab w:pos="234" w:val="left"/>
              </w:tabs>
              <w:bidi w:val="0"/>
              <w:spacing w:line="230" w:lineRule="auto"/>
              <w:ind w:left="0" w:firstLine="0"/>
              <w:jc w:val="left"/>
              <w:rPr>
                <w:sz w:val="15"/>
                <w:szCs w:val="15"/>
              </w:rPr>
            </w:pPr>
            <w:r>
              <w:rPr>
                <w:spacing w:val="0"/>
                <w:w w:val="100"/>
                <w:position w:val="0"/>
                <w:sz w:val="15"/>
                <w:szCs w:val="15"/>
                <w:shd w:val="clear" w:color="auto" w:fill="auto"/>
                <w:lang w:val="en-US" w:eastAsia="en-US" w:bidi="en-US"/>
              </w:rPr>
              <w:t>5 7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w:t>
            </w:r>
          </w:p>
          <w:p>
            <w:pPr>
              <w:pStyle w:val="Style2"/>
              <w:keepNext w:val="0"/>
              <w:keepLines w:val="0"/>
              <w:widowControl w:val="0"/>
              <w:shd w:val="clear" w:color="auto" w:fill="auto"/>
              <w:bidi w:val="0"/>
              <w:spacing w:line="214" w:lineRule="auto"/>
              <w:ind w:left="0" w:firstLine="0"/>
              <w:jc w:val="left"/>
              <w:rPr>
                <w:sz w:val="15"/>
                <w:szCs w:val="15"/>
              </w:rPr>
            </w:pPr>
            <w:r>
              <w:rPr>
                <w:spacing w:val="0"/>
                <w:w w:val="100"/>
                <w:position w:val="0"/>
                <w:sz w:val="15"/>
                <w:szCs w:val="15"/>
                <w:shd w:val="clear" w:color="auto" w:fill="auto"/>
                <w:lang w:val="en-US" w:eastAsia="en-US" w:bidi="en-US"/>
              </w:rPr>
              <w:t>21</w:t>
            </w:r>
          </w:p>
          <w:p>
            <w:pPr>
              <w:pStyle w:val="Style2"/>
              <w:keepNext w:val="0"/>
              <w:keepLines w:val="0"/>
              <w:widowControl w:val="0"/>
              <w:shd w:val="clear" w:color="auto" w:fill="auto"/>
              <w:bidi w:val="0"/>
              <w:spacing w:line="214" w:lineRule="auto"/>
              <w:ind w:left="0" w:firstLine="0"/>
              <w:jc w:val="left"/>
              <w:rPr>
                <w:sz w:val="15"/>
                <w:szCs w:val="15"/>
              </w:rPr>
            </w:pPr>
            <w:r>
              <w:rPr>
                <w:spacing w:val="0"/>
                <w:w w:val="100"/>
                <w:position w:val="0"/>
                <w:sz w:val="15"/>
                <w:szCs w:val="15"/>
                <w:shd w:val="clear" w:color="auto" w:fill="auto"/>
                <w:lang w:val="en-US" w:eastAsia="en-US" w:bidi="en-US"/>
              </w:rPr>
              <w:t>19</w:t>
            </w:r>
          </w:p>
          <w:p>
            <w:pPr>
              <w:pStyle w:val="Style2"/>
              <w:keepNext w:val="0"/>
              <w:keepLines w:val="0"/>
              <w:widowControl w:val="0"/>
              <w:shd w:val="clear" w:color="auto" w:fill="auto"/>
              <w:bidi w:val="0"/>
              <w:spacing w:line="214" w:lineRule="auto"/>
              <w:ind w:left="0" w:firstLine="0"/>
              <w:jc w:val="left"/>
              <w:rPr>
                <w:sz w:val="15"/>
                <w:szCs w:val="15"/>
              </w:rPr>
            </w:pPr>
            <w:r>
              <w:rPr>
                <w:spacing w:val="0"/>
                <w:w w:val="100"/>
                <w:position w:val="0"/>
                <w:sz w:val="15"/>
                <w:szCs w:val="15"/>
                <w:shd w:val="clear" w:color="auto" w:fill="auto"/>
                <w:lang w:val="en-US" w:eastAsia="en-US" w:bidi="en-US"/>
              </w:rPr>
              <w:t>18</w:t>
            </w:r>
          </w:p>
        </w:tc>
      </w:tr>
    </w:tbl>
    <w:p>
      <w:pPr>
        <w:widowControl w:val="0"/>
        <w:spacing w:after="39" w:line="1" w:lineRule="exact"/>
      </w:pPr>
    </w:p>
    <w:p>
      <w:pPr>
        <w:pStyle w:val="Style8"/>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On the 24th April 1886 the funds in the hands of the National Debt Commissioners on account of trustee savings banks were £46,162,515, and post office savings banks £19,881,896, a total of £96,044,411.</w:t>
      </w:r>
    </w:p>
    <w:p>
      <w:pPr>
        <w:pStyle w:val="Style8"/>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To these may be added the cash and assets in the hands of the banks and the postmaster-general, which at the beginning of the previous year amounted to £764,804, and also the following investments in stock on account of depositors:—trustee savings bank, £729,522 ; post office savings bank, £2,626,928 ; total, £3,356,450 ;—making the aggregate funds belonging to depositors in savings banks more than £100,000,000.</w:t>
      </w:r>
    </w:p>
    <w:p>
      <w:pPr>
        <w:pStyle w:val="Style8"/>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largest savings bank in the United Kingdom is that at Glasgow, as shown by the following table of the 21 principal banks :—</w:t>
      </w:r>
    </w:p>
    <w:tbl>
      <w:tblPr>
        <w:tblOverlap w:val="never"/>
        <w:jc w:val="left"/>
        <w:tblLayout w:type="fixed"/>
      </w:tblPr>
      <w:tblGrid>
        <w:gridCol w:w="2149"/>
        <w:gridCol w:w="814"/>
        <w:gridCol w:w="655"/>
        <w:gridCol w:w="828"/>
      </w:tblGrid>
      <w:tr>
        <w:trPr>
          <w:trHeight w:val="544"/>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Deposits on 20th Novem</w:t>
              <w:softHyphen/>
              <w:t>ber 1884.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Deposit</w:t>
            </w:r>
          </w:p>
          <w:p>
            <w:pPr>
              <w:pStyle w:val="Style2"/>
              <w:keepNext w:val="0"/>
              <w:keepLines w:val="0"/>
              <w:widowControl w:val="0"/>
              <w:shd w:val="clear" w:color="auto" w:fill="auto"/>
              <w:bidi w:val="0"/>
              <w:spacing w:line="187" w:lineRule="auto"/>
              <w:ind w:left="0" w:firstLine="0"/>
              <w:jc w:val="left"/>
              <w:rPr>
                <w:sz w:val="14"/>
                <w:szCs w:val="14"/>
              </w:rPr>
            </w:pPr>
            <w:r>
              <w:rPr>
                <w:spacing w:val="0"/>
                <w:w w:val="100"/>
                <w:position w:val="0"/>
                <w:sz w:val="14"/>
                <w:szCs w:val="14"/>
                <w:shd w:val="clear" w:color="auto" w:fill="auto"/>
                <w:lang w:val="en-US" w:eastAsia="en-US" w:bidi="en-US"/>
              </w:rPr>
              <w:t>Accounts</w:t>
            </w:r>
          </w:p>
          <w:p>
            <w:pPr>
              <w:pStyle w:val="Style2"/>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Open.</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line="178" w:lineRule="auto"/>
              <w:ind w:left="0" w:firstLine="0"/>
              <w:jc w:val="left"/>
              <w:rPr>
                <w:sz w:val="14"/>
                <w:szCs w:val="14"/>
              </w:rPr>
            </w:pPr>
            <w:r>
              <w:rPr>
                <w:spacing w:val="0"/>
                <w:w w:val="100"/>
                <w:position w:val="0"/>
                <w:sz w:val="14"/>
                <w:szCs w:val="14"/>
                <w:shd w:val="clear" w:color="auto" w:fill="auto"/>
                <w:lang w:val="en-US" w:eastAsia="en-US" w:bidi="en-US"/>
              </w:rPr>
              <w:t>Number of</w:t>
            </w:r>
          </w:p>
          <w:p>
            <w:pPr>
              <w:pStyle w:val="Style2"/>
              <w:keepNext w:val="0"/>
              <w:keepLines w:val="0"/>
              <w:widowControl w:val="0"/>
              <w:shd w:val="clear" w:color="auto" w:fill="auto"/>
              <w:bidi w:val="0"/>
              <w:spacing w:line="178" w:lineRule="auto"/>
              <w:ind w:left="0" w:firstLine="0"/>
              <w:jc w:val="left"/>
              <w:rPr>
                <w:sz w:val="14"/>
                <w:szCs w:val="14"/>
              </w:rPr>
            </w:pPr>
            <w:r>
              <w:rPr>
                <w:spacing w:val="0"/>
                <w:w w:val="100"/>
                <w:position w:val="0"/>
                <w:sz w:val="14"/>
                <w:szCs w:val="14"/>
                <w:shd w:val="clear" w:color="auto" w:fill="auto"/>
                <w:lang w:val="en-US" w:eastAsia="en-US" w:bidi="en-US"/>
              </w:rPr>
              <w:t>Transactions in the Year.</w:t>
            </w:r>
          </w:p>
        </w:tc>
      </w:tr>
      <w:tr>
        <w:trPr>
          <w:trHeight w:val="371"/>
        </w:trPr>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2034"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Glasgow</w:t>
              <w:tab/>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w:t>
            </w:r>
          </w:p>
          <w:p>
            <w:pPr>
              <w:pStyle w:val="Style2"/>
              <w:keepNext w:val="0"/>
              <w:keepLines w:val="0"/>
              <w:widowControl w:val="0"/>
              <w:shd w:val="clear" w:color="auto" w:fill="auto"/>
              <w:bidi w:val="0"/>
              <w:spacing w:line="218" w:lineRule="auto"/>
              <w:ind w:left="0" w:firstLine="0"/>
              <w:jc w:val="left"/>
              <w:rPr>
                <w:sz w:val="15"/>
                <w:szCs w:val="15"/>
              </w:rPr>
            </w:pPr>
            <w:r>
              <w:rPr>
                <w:spacing w:val="0"/>
                <w:w w:val="100"/>
                <w:position w:val="0"/>
                <w:sz w:val="15"/>
                <w:szCs w:val="15"/>
                <w:shd w:val="clear" w:color="auto" w:fill="auto"/>
                <w:lang w:val="en-US" w:eastAsia="en-US" w:bidi="en-US"/>
              </w:rPr>
              <w:t>3,686,607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127,651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523,322</w:t>
            </w:r>
          </w:p>
        </w:tc>
      </w:tr>
      <w:tr>
        <w:trPr>
          <w:trHeight w:val="151"/>
        </w:trPr>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2023"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Liverpool</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2,080,788</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80,667</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336,281</w:t>
            </w:r>
          </w:p>
        </w:tc>
      </w:tr>
      <w:tr>
        <w:trPr>
          <w:trHeight w:val="155"/>
        </w:trPr>
        <w:tc>
          <w:tcPr>
            <w:tcBorders>
              <w:top w:val="single" w:sz="4"/>
              <w:left w:val="single" w:sz="4"/>
            </w:tcBorders>
            <w:shd w:val="clear" w:color="auto" w:fill="FFFFFF"/>
            <w:vAlign w:val="top"/>
          </w:tcPr>
          <w:p>
            <w:pPr>
              <w:pStyle w:val="Style2"/>
              <w:keepNext w:val="0"/>
              <w:keepLines w:val="0"/>
              <w:widowControl w:val="0"/>
              <w:shd w:val="clear" w:color="auto" w:fill="auto"/>
              <w:tabs>
                <w:tab w:leader="dot" w:pos="2023"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Manchester</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1,858,468</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68,162</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210,828</w:t>
            </w:r>
          </w:p>
        </w:tc>
      </w:tr>
      <w:tr>
        <w:trPr>
          <w:trHeight w:val="155"/>
        </w:trPr>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2016"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Edinburgh</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1,412,547</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59,970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232,375</w:t>
            </w:r>
          </w:p>
        </w:tc>
      </w:tr>
      <w:tr>
        <w:trPr>
          <w:trHeight w:val="148"/>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St Martin’s Place, Loudon ....</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1,351,839</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29,999</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38,350</w:t>
            </w:r>
          </w:p>
        </w:tc>
      </w:tr>
      <w:tr>
        <w:trPr>
          <w:trHeight w:val="162"/>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Bloomfield Street, London....</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1,263,577</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65,301</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104,311</w:t>
            </w:r>
          </w:p>
        </w:tc>
      </w:tr>
      <w:tr>
        <w:trPr>
          <w:trHeight w:val="155"/>
        </w:trPr>
        <w:tc>
          <w:tcPr>
            <w:tcBorders>
              <w:left w:val="single" w:sz="4"/>
            </w:tcBorders>
            <w:shd w:val="clear" w:color="auto" w:fill="FFFFFF"/>
            <w:vAlign w:val="bottom"/>
          </w:tcPr>
          <w:p>
            <w:pPr>
              <w:pStyle w:val="Style2"/>
              <w:keepNext w:val="0"/>
              <w:keepLines w:val="0"/>
              <w:widowControl w:val="0"/>
              <w:shd w:val="clear" w:color="auto" w:fill="auto"/>
              <w:tabs>
                <w:tab w:leader="dot" w:pos="2023"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Exeter</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1,054,601</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34,217</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35,230</w:t>
            </w:r>
          </w:p>
        </w:tc>
      </w:tr>
      <w:tr>
        <w:trPr>
          <w:trHeight w:val="151"/>
        </w:trPr>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2020"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Sheffield</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957,164</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32,389</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74,150</w:t>
            </w:r>
          </w:p>
        </w:tc>
      </w:tr>
      <w:tr>
        <w:trPr>
          <w:trHeight w:val="158"/>
        </w:trPr>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2020"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Finsbury, London</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885,195</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31,880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97,386</w:t>
            </w:r>
          </w:p>
        </w:tc>
      </w:tr>
      <w:tr>
        <w:trPr>
          <w:trHeight w:val="155"/>
        </w:trPr>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2020"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Newcastle-on-Tyne</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776,188</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21,998</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40,952</w:t>
            </w:r>
          </w:p>
        </w:tc>
      </w:tr>
      <w:tr>
        <w:trPr>
          <w:trHeight w:val="158"/>
        </w:trPr>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2012"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Preston</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653,875</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19,561</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54,871</w:t>
            </w:r>
          </w:p>
        </w:tc>
      </w:tr>
      <w:tr>
        <w:trPr>
          <w:trHeight w:val="155"/>
        </w:trPr>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2012"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Hull</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628,903</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27,597</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82,414</w:t>
            </w:r>
          </w:p>
        </w:tc>
      </w:tr>
      <w:tr>
        <w:trPr>
          <w:trHeight w:val="162"/>
        </w:trPr>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2020"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Nottingham</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607,708</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22,811</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40,114</w:t>
            </w:r>
          </w:p>
        </w:tc>
      </w:tr>
      <w:tr>
        <w:trPr>
          <w:trHeight w:val="148"/>
        </w:trPr>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2012"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Leeds</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572,209</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24,322</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83,433</w:t>
            </w:r>
          </w:p>
        </w:tc>
      </w:tr>
      <w:tr>
        <w:trPr>
          <w:trHeight w:val="155"/>
        </w:trPr>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2016"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Bristol</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539,695</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14,168</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29,286</w:t>
            </w:r>
          </w:p>
        </w:tc>
      </w:tr>
      <w:tr>
        <w:trPr>
          <w:trHeight w:val="155"/>
        </w:trPr>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2020" w:val="left"/>
              </w:tabs>
              <w:bidi w:val="0"/>
              <w:spacing w:line="240" w:lineRule="auto"/>
              <w:ind w:left="0" w:firstLine="0"/>
              <w:jc w:val="left"/>
              <w:rPr>
                <w:sz w:val="15"/>
                <w:szCs w:val="15"/>
              </w:rPr>
            </w:pPr>
            <w:r>
              <w:rPr>
                <w:spacing w:val="0"/>
                <w:w w:val="100"/>
                <w:position w:val="0"/>
                <w:sz w:val="15"/>
                <w:szCs w:val="15"/>
                <w:shd w:val="clear" w:color="auto" w:fill="auto"/>
                <w:lang w:val="de-DE" w:eastAsia="de-DE" w:bidi="de-DE"/>
              </w:rPr>
              <w:t>Devonport</w:t>
            </w:r>
            <w:r>
              <w:rPr>
                <w:spacing w:val="0"/>
                <w:w w:val="100"/>
                <w:position w:val="0"/>
                <w:sz w:val="15"/>
                <w:szCs w:val="15"/>
                <w:shd w:val="clear" w:color="auto" w:fill="auto"/>
                <w:lang w:val="en-US" w:eastAsia="en-US" w:bidi="en-US"/>
              </w:rPr>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523,154</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18,995</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23,675</w:t>
            </w:r>
          </w:p>
        </w:tc>
      </w:tr>
      <w:tr>
        <w:trPr>
          <w:trHeight w:val="256"/>
        </w:trPr>
        <w:tc>
          <w:tcPr>
            <w:tcBorders>
              <w:top w:val="single" w:sz="4"/>
              <w:left w:val="single" w:sz="4"/>
            </w:tcBorders>
            <w:shd w:val="clear" w:color="auto" w:fill="FFFFFF"/>
            <w:vAlign w:val="top"/>
          </w:tcPr>
          <w:p>
            <w:pPr>
              <w:pStyle w:val="Style2"/>
              <w:keepNext w:val="0"/>
              <w:keepLines w:val="0"/>
              <w:widowControl w:val="0"/>
              <w:shd w:val="clear" w:color="auto" w:fill="auto"/>
              <w:tabs>
                <w:tab w:leader="dot" w:pos="2023"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Bloomsbury, London</w:t>
              <w:tab/>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521,615</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23,532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39,438</w:t>
            </w:r>
          </w:p>
        </w:tc>
      </w:tr>
      <w:tr>
        <w:trPr>
          <w:trHeight w:val="526"/>
        </w:trPr>
        <w:tc>
          <w:tcPr>
            <w:tcBorders>
              <w:left w:val="single" w:sz="4"/>
            </w:tcBorders>
            <w:shd w:val="clear" w:color="auto" w:fill="FFFFFF"/>
            <w:vAlign w:val="bottom"/>
          </w:tcPr>
          <w:p>
            <w:pPr>
              <w:pStyle w:val="Style2"/>
              <w:keepNext w:val="0"/>
              <w:keepLines w:val="0"/>
              <w:widowControl w:val="0"/>
              <w:shd w:val="clear" w:color="auto" w:fill="auto"/>
              <w:bidi w:val="0"/>
              <w:spacing w:line="221" w:lineRule="auto"/>
              <w:ind w:left="0" w:firstLine="0"/>
              <w:jc w:val="left"/>
              <w:rPr>
                <w:sz w:val="15"/>
                <w:szCs w:val="15"/>
              </w:rPr>
            </w:pPr>
            <w:r>
              <w:rPr>
                <w:spacing w:val="0"/>
                <w:w w:val="100"/>
                <w:position w:val="0"/>
                <w:sz w:val="15"/>
                <w:szCs w:val="15"/>
                <w:shd w:val="clear" w:color="auto" w:fill="auto"/>
                <w:lang w:val="en-US" w:eastAsia="en-US" w:bidi="en-US"/>
              </w:rPr>
              <w:t>Banks with less capital but a large number of depositors—</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19,374,133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703,220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2,046,416</w:t>
            </w:r>
          </w:p>
        </w:tc>
      </w:tr>
      <w:tr>
        <w:trPr>
          <w:trHeight w:val="148"/>
        </w:trPr>
        <w:tc>
          <w:tcPr>
            <w:tcBorders>
              <w:left w:val="single" w:sz="4"/>
            </w:tcBorders>
            <w:shd w:val="clear" w:color="auto" w:fill="FFFFFF"/>
            <w:vAlign w:val="bottom"/>
          </w:tcPr>
          <w:p>
            <w:pPr>
              <w:pStyle w:val="Style2"/>
              <w:keepNext w:val="0"/>
              <w:keepLines w:val="0"/>
              <w:widowControl w:val="0"/>
              <w:shd w:val="clear" w:color="auto" w:fill="auto"/>
              <w:tabs>
                <w:tab w:leader="dot" w:pos="2116"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Aberdeen</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396,151</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32,668</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36,380</w:t>
            </w:r>
          </w:p>
        </w:tc>
      </w:tr>
      <w:tr>
        <w:trPr>
          <w:trHeight w:val="155"/>
        </w:trPr>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2105"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Dundee</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474,089</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22,119</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81,753</w:t>
            </w:r>
          </w:p>
        </w:tc>
      </w:tr>
      <w:tr>
        <w:trPr>
          <w:trHeight w:val="162"/>
        </w:trPr>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2108"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Marylebone, London</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301,713</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20,895</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23,773</w:t>
            </w:r>
          </w:p>
        </w:tc>
      </w:tr>
      <w:tr>
        <w:trPr>
          <w:trHeight w:val="252"/>
        </w:trPr>
        <w:tc>
          <w:tcPr>
            <w:tcBorders>
              <w:top w:val="single" w:sz="4"/>
              <w:left w:val="single" w:sz="4"/>
            </w:tcBorders>
            <w:shd w:val="clear" w:color="auto" w:fill="FFFFFF"/>
            <w:vAlign w:val="top"/>
          </w:tcPr>
          <w:p>
            <w:pPr>
              <w:pStyle w:val="Style2"/>
              <w:keepNext w:val="0"/>
              <w:keepLines w:val="0"/>
              <w:widowControl w:val="0"/>
              <w:shd w:val="clear" w:color="auto" w:fill="auto"/>
              <w:tabs>
                <w:tab w:leader="dot" w:pos="2108"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Leicester</w:t>
              <w:tab/>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326 296</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18,531</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36,141</w:t>
            </w:r>
          </w:p>
        </w:tc>
      </w:tr>
      <w:tr>
        <w:trPr>
          <w:trHeight w:val="331"/>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20,872,382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797,433</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2,224,463</w:t>
            </w:r>
          </w:p>
        </w:tc>
      </w:tr>
    </w:tbl>
    <w:p>
      <w:pPr>
        <w:pStyle w:val="Style8"/>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From this table some interesting conclusions may be drawn as to the operations of savings banks in the larger towns. These 21 banks have together more than 50 per cent. of the depositors, more than 45 per cent. of the deposits, and more than 65 per cent. of the transactions of all the 411 savings banks of the United Kingdom.</w:t>
      </w:r>
    </w:p>
    <w:p>
      <w:pPr>
        <w:pStyle w:val="Style8"/>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progress of savings banks and the large amount that the deposits have now reached are evidence of the general fitness of the organization for its purpose. So far as regards trustee savings banks, the provisions of the Acts of 1817 are still to a great extent the same as those by which they are now regulated, though the law has been frequently amended in matters of detail, and twice (1828 and 1863) consolidated. Its main feature is the requirement that the whole of the funds should be invested with the Government through the Commissioners for the Reduction of the National Debt. The local management of the banks has been left entirely to the trustees, who are precluded from receiving any remuneration for their services or making any profit. They are, however, required to furnish the commissioners with periodical returns of their transactions. This blending of private management with state control has had many advantages in knitting together class and class, and in many places the voluntary trustees and managers have been able to render real service to the depositors in various ways. A new savings bank requires for its establishment the con</w:t>
        <w:softHyphen/>
        <w:t>sent of the National Debt Commissioners and the certi</w:t>
        <w:softHyphen/>
        <w:t>ficate of the registrar of friendly societies to its rules; but since the opening of the post office savings banks in 1861 few have been established, and many old savings banks have been closed, not being able to offer to their depositors the same advantages as the new system. The savings banks, which numbered 640 in 1861, have thus been reduced to 411, and their capital has been maintained rather by the accumulation of interest than by fresh deposits.</w:t>
      </w:r>
    </w:p>
    <w:p>
      <w:pPr>
        <w:pStyle w:val="Style11"/>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legislation of 1817, among other inducements to thrift, offered that of a bounty to the savings bank depositor in the shape of a rate of interest in excess of that given to the ordinary public creditor, or—which is the same thing—in excess of that which could be earned by the investment of the deposits in the purchase of Government stock. The interest offered in the first instance was 3d. per day, or £4, 11s. 3d. per </w:t>
      </w:r>
      <w:r>
        <w:rPr>
          <w:color w:val="A6997A"/>
          <w:spacing w:val="0"/>
          <w:w w:val="100"/>
          <w:position w:val="0"/>
          <w:shd w:val="clear" w:color="auto" w:fill="auto"/>
          <w:lang w:val="en-US" w:eastAsia="en-US" w:bidi="en-US"/>
        </w:rPr>
        <w:t>cent.</w:t>
      </w:r>
      <w:r>
        <w:rPr>
          <w:spacing w:val="0"/>
          <w:w w:val="100"/>
          <w:position w:val="0"/>
          <w:shd w:val="clear" w:color="auto" w:fill="auto"/>
          <w:lang w:val="en-US" w:eastAsia="en-US" w:bidi="en-US"/>
        </w:rPr>
        <w:t xml:space="preserve"> per annum ; and that rate continued to be granted until the passing of the Act of 1828 (9 Geo. IV. c. 92). That Act reduced the rate of interest allowed to the trustees of savings banks to 2</w:t>
      </w:r>
      <w:r>
        <w:rPr>
          <w:color w:val="A6997A"/>
          <w:spacing w:val="0"/>
          <w:w w:val="100"/>
          <w:position w:val="0"/>
          <w:shd w:val="clear" w:color="auto" w:fill="auto"/>
          <w:vertAlign w:val="superscript"/>
          <w:lang w:val="en-US" w:eastAsia="en-US" w:bidi="en-US"/>
        </w:rPr>
        <w:t>1</w:t>
      </w:r>
      <w:r>
        <w:rPr>
          <w:color w:val="A6997A"/>
          <w:spacing w:val="0"/>
          <w:w w:val="100"/>
          <w:position w:val="0"/>
          <w:shd w:val="clear" w:color="auto" w:fill="auto"/>
          <w:lang w:val="en-US" w:eastAsia="en-US" w:bidi="en-US"/>
        </w:rPr>
        <w:t>/</w:t>
      </w:r>
      <w:r>
        <w:rPr>
          <w:color w:val="A6997A"/>
          <w:spacing w:val="0"/>
          <w:w w:val="100"/>
          <w:position w:val="0"/>
          <w:shd w:val="clear" w:color="auto" w:fill="auto"/>
          <w:vertAlign w:val="subscript"/>
          <w:lang w:val="en-US" w:eastAsia="en-US" w:bidi="en-US"/>
        </w:rPr>
        <w:t>2</w:t>
      </w:r>
      <w:r>
        <w:rPr>
          <w:color w:val="A6997A"/>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d. per day, or £3, 16s. 0</w:t>
      </w:r>
      <w:r>
        <w:rPr>
          <w:color w:val="A6997A"/>
          <w:spacing w:val="0"/>
          <w:w w:val="100"/>
          <w:position w:val="0"/>
          <w:shd w:val="clear" w:color="auto" w:fill="auto"/>
          <w:vertAlign w:val="superscript"/>
          <w:lang w:val="en-US" w:eastAsia="en-US" w:bidi="en-US"/>
        </w:rPr>
        <w:t>1</w:t>
      </w:r>
      <w:r>
        <w:rPr>
          <w:color w:val="A6997A"/>
          <w:spacing w:val="0"/>
          <w:w w:val="100"/>
          <w:position w:val="0"/>
          <w:shd w:val="clear" w:color="auto" w:fill="auto"/>
          <w:lang w:val="en-US" w:eastAsia="en-US" w:bidi="en-US"/>
        </w:rPr>
        <w:t>/</w:t>
      </w:r>
      <w:r>
        <w:rPr>
          <w:color w:val="A6997A"/>
          <w:spacing w:val="0"/>
          <w:w w:val="100"/>
          <w:position w:val="0"/>
          <w:shd w:val="clear" w:color="auto" w:fill="auto"/>
          <w:vertAlign w:val="subscript"/>
          <w:lang w:val="en-US" w:eastAsia="en-US" w:bidi="en-US"/>
        </w:rPr>
        <w:t>2</w:t>
      </w:r>
      <w:r>
        <w:rPr>
          <w:color w:val="A6997A"/>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d. per annum, and prohibited them from allowing more to their depositors than 2 1/4 d. per day, or £3, 8s. 5 1/4 d. per annum, requiring them to pay the surplus, if any, into a separate fund held by the National Debt Commissioners, but bearing no interest. In 1844 the interest to trustees was further reduced to 2d. per day, or £3, 5s. per cent., the maximum to be allowed to depositors being fixed at £3, 0s. 10d. Finally, in 1880 the interest to trus</w:t>
        <w:softHyphen/>
        <w:t>tees has been reduced to £3, and that to depositors to £2, 15s.</w:t>
      </w:r>
    </w:p>
    <w:p>
      <w:pPr>
        <w:pStyle w:val="Style11"/>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result of the bonus on thrift offered by the earlier statutes was a loss to the state, which ought to have been made good by an annual vote. Between 1817 and 1828 the difference between the interest credited and that earned amounted to £744,363 ; and this led to the reduction in the rate of interest effected by the Act of the latter year. The deficiency, instead of being paid off, was allowed still to accumulate, and as the price of stock rose and the deposits increased fresh deficiencies arose, so that by 1844 the deficiency, which would have been 1</w:t>
      </w:r>
      <w:r>
        <w:rPr>
          <w:color w:val="A6997A"/>
          <w:spacing w:val="0"/>
          <w:w w:val="100"/>
          <w:position w:val="0"/>
          <w:shd w:val="clear" w:color="auto" w:fill="auto"/>
          <w:vertAlign w:val="superscript"/>
          <w:lang w:val="en-US" w:eastAsia="en-US" w:bidi="en-US"/>
        </w:rPr>
        <w:t>1</w:t>
      </w:r>
      <w:r>
        <w:rPr>
          <w:color w:val="A6997A"/>
          <w:spacing w:val="0"/>
          <w:w w:val="100"/>
          <w:position w:val="0"/>
          <w:shd w:val="clear" w:color="auto" w:fill="auto"/>
          <w:lang w:val="en-US" w:eastAsia="en-US" w:bidi="en-US"/>
        </w:rPr>
        <w:t>/</w:t>
      </w:r>
      <w:r>
        <w:rPr>
          <w:color w:val="A6997A"/>
          <w:spacing w:val="0"/>
          <w:w w:val="100"/>
          <w:position w:val="0"/>
          <w:shd w:val="clear" w:color="auto" w:fill="auto"/>
          <w:vertAlign w:val="subscript"/>
          <w:lang w:val="en-US" w:eastAsia="en-US" w:bidi="en-US"/>
        </w:rPr>
        <w:t>2</w:t>
      </w:r>
      <w:r>
        <w:rPr>
          <w:color w:val="A6997A"/>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millions by the mere accumulation of interest on the previous £744,363, had become £3,179,930. The reduction of interest in 1844 was about enough to make the fund self-supporting, though savings banks are always, as Mr Scratchley clearly shows, liable to loss from the fact that deposits are in excess when the funds are high and withdrawals when they are low ; but the past deficiency was still allowed to accumulate, and it was not till 1880 that the plan was adopted of voting the deficiency every year. Had the accumulated deficiency been then liquidated, there would have been no necessity for an annual vote. The bad political economy of the legislators of 1817 has left us this legacy of annual deficits. Had they provided the bounty at their own expense instead of that of their descendants, there would have been little to be said against it.</w:t>
      </w:r>
    </w:p>
    <w:sectPr>
      <w:footnotePr>
        <w:pos w:val="pageBottom"/>
        <w:numFmt w:val="decimal"/>
        <w:numRestart w:val="continuous"/>
      </w:footnotePr>
      <w:pgSz w:w="12240" w:h="16840"/>
      <w:pgMar w:top="1888" w:left="1503" w:right="1193" w:bottom="1082" w:header="1460" w:footer="654" w:gutter="0"/>
      <w:pgNumType w:start="20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746C54"/>
        <w:spacing w:val="0"/>
        <w:w w:val="100"/>
        <w:position w:val="0"/>
        <w:sz w:val="15"/>
        <w:szCs w:val="15"/>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Other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12">
    <w:name w:val="Body text (2)_"/>
    <w:basedOn w:val="DefaultParagraphFont"/>
    <w:link w:val="Style11"/>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2">
    <w:name w:val="Other"/>
    <w:basedOn w:val="Normal"/>
    <w:link w:val="CharStyle3"/>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styleId="Style8">
    <w:name w:val="Body text"/>
    <w:basedOn w:val="Normal"/>
    <w:link w:val="CharStyle9"/>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11">
    <w:name w:val="Body text (2)"/>
    <w:basedOn w:val="Normal"/>
    <w:link w:val="CharStyle12"/>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