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offer of a bonus on thrift was of necessity accompanied by provisions to guard against its being used by others than the classes it was intended to encourage. This was done by limiting the amount that each depositor should be permitted to pay in. In the first instance, in England the limit was fixed at £100 for the first year, and £50 a year afterwards. In 1824 these limits were reduced to £50 for the first year, £30 a year afterwards, and £200 in the whole. In 1828 the limit was adopted which still remains in force of £30 a year or £150 in the whole, allowed by addition of interest to increase to £200 but no further. Attempts have been frequently made to raise the annual limit to £50, but have always been defeated. This is to be regretted, for the limit is of doubtful utility, now that the rate of interest has been so reduced as to prevent loss to the state. It is within the common experience of savings banks managers that persons come to deposit an amount exceeding £30 and are disappointed when they find they cannot do so. The Act of 1882, permitting investment in Government stock, may diminish the mischief.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view of showing to what extent savings banks are used by the classes for which they were intended, a return was published for the year 1852, showing (as nearly as could be ascertained) the number of depositors belonging to various occupations, and the amount of their deposits, as follows :—</w:t>
      </w:r>
    </w:p>
    <w:tbl>
      <w:tblPr>
        <w:tblOverlap w:val="never"/>
        <w:jc w:val="left"/>
        <w:tblLayout w:type="fixed"/>
      </w:tblPr>
      <w:tblGrid>
        <w:gridCol w:w="2412"/>
        <w:gridCol w:w="691"/>
        <w:gridCol w:w="760"/>
        <w:gridCol w:w="634"/>
        <w:gridCol w:w="97"/>
      </w:tblGrid>
      <w:tr>
        <w:trPr>
          <w:trHeight w:val="27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Depositors.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Deposits.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Average.</w:t>
            </w:r>
          </w:p>
        </w:tc>
        <w:tc>
          <w:tcPr>
            <w:tcBorders>
              <w:left w:val="single" w:sz="4"/>
              <w:right w:val="single" w:sz="4"/>
            </w:tcBorders>
            <w:shd w:val="clear" w:color="auto" w:fill="FFFFFF"/>
            <w:vAlign w:val="top"/>
          </w:tcPr>
          <w:p>
            <w:pPr>
              <w:widowControl w:val="0"/>
              <w:rPr>
                <w:sz w:val="10"/>
                <w:szCs w:val="10"/>
              </w:rPr>
            </w:pPr>
          </w:p>
        </w:tc>
      </w:tr>
      <w:tr>
        <w:trPr>
          <w:trHeight w:val="16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Tradesmen and their assistants, small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trPr>
        <w:tc>
          <w:tcPr>
            <w:tcBorders>
              <w:left w:val="single" w:sz="4"/>
            </w:tcBorders>
            <w:shd w:val="clear" w:color="auto" w:fill="FFFFFF"/>
            <w:vAlign w:val="bottom"/>
          </w:tcPr>
          <w:p>
            <w:pPr>
              <w:pStyle w:val="Style6"/>
              <w:keepNext w:val="0"/>
              <w:keepLines w:val="0"/>
              <w:widowControl w:val="0"/>
              <w:shd w:val="clear" w:color="auto" w:fill="auto"/>
              <w:tabs>
                <w:tab w:leader="dot" w:pos="2365"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farmers, clerks, mechanics, and artisans not described as journeymen, and their wives</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296,407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 144,206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w:t>
            </w:r>
          </w:p>
        </w:tc>
        <w:tc>
          <w:tcPr>
            <w:tcBorders>
              <w:left w:val="single" w:sz="4"/>
              <w:right w:val="single" w:sz="4"/>
            </w:tcBorders>
            <w:shd w:val="clear" w:color="auto" w:fill="FFFFFF"/>
            <w:vAlign w:val="top"/>
          </w:tcPr>
          <w:p>
            <w:pPr>
              <w:widowControl w:val="0"/>
              <w:rPr>
                <w:sz w:val="10"/>
                <w:szCs w:val="10"/>
              </w:rPr>
            </w:pP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Domestic servants, charwomen, nurses,</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7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and laundresses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257,711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6,907,388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Minors having accounts in their own</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left w:val="single" w:sz="4"/>
            </w:tcBorders>
            <w:shd w:val="clear" w:color="auto" w:fill="FFFFFF"/>
            <w:vAlign w:val="bottom"/>
          </w:tcPr>
          <w:p>
            <w:pPr>
              <w:pStyle w:val="Style6"/>
              <w:keepNext w:val="0"/>
              <w:keepLines w:val="0"/>
              <w:widowControl w:val="0"/>
              <w:shd w:val="clear" w:color="auto" w:fill="auto"/>
              <w:tabs>
                <w:tab w:leader="dot" w:pos="237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names, including apprentices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182,636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2,426,195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Labourers, farm servants, journeymen</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8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85"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mechanics, and their wives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152,057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4,354,080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Females described only as married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94"/>
        </w:trPr>
        <w:tc>
          <w:tcPr>
            <w:tcBorders>
              <w:left w:val="single" w:sz="4"/>
            </w:tcBorders>
            <w:shd w:val="clear" w:color="auto" w:fill="FFFFFF"/>
            <w:vAlign w:val="bottom"/>
          </w:tcPr>
          <w:p>
            <w:pPr>
              <w:pStyle w:val="Style6"/>
              <w:keepNext w:val="0"/>
              <w:keepLines w:val="0"/>
              <w:widowControl w:val="0"/>
              <w:shd w:val="clear" w:color="auto" w:fill="auto"/>
              <w:tabs>
                <w:tab w:leader="dot" w:pos="2382"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women, widows, or spinsters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138,858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4,037,458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w:t>
            </w:r>
          </w:p>
        </w:tc>
        <w:tc>
          <w:tcPr>
            <w:tcBorders>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Dressmakers, milliners, shopwomen, and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7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female artisans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24,859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580,202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Trust accounts (principally for minors),</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85"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including all joint accounts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22,317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417,786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Soldiers, sailors, boatmen, fishermen,</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28"/>
        </w:trPr>
        <w:tc>
          <w:tcPr>
            <w:tcBorders>
              <w:left w:val="single" w:sz="4"/>
            </w:tcBorders>
            <w:shd w:val="clear" w:color="auto" w:fill="FFFFFF"/>
            <w:vAlign w:val="bottom"/>
          </w:tcPr>
          <w:p>
            <w:pPr>
              <w:pStyle w:val="Style6"/>
              <w:keepNext w:val="0"/>
              <w:keepLines w:val="0"/>
              <w:widowControl w:val="0"/>
              <w:shd w:val="clear" w:color="auto" w:fill="auto"/>
              <w:tabs>
                <w:tab w:leader="dot" w:pos="2365"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policemen, letter carriers, revenue officers, pensioners, railway men, and their wives</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21,525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739,248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Persons engaged in education, male and</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7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female</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10,497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327,795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Gentlemen, persons of independent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98"/>
        </w:trPr>
        <w:tc>
          <w:tcPr>
            <w:tcBorders>
              <w:left w:val="single" w:sz="4"/>
            </w:tcBorders>
            <w:shd w:val="clear" w:color="auto" w:fill="FFFFFF"/>
            <w:vAlign w:val="bottom"/>
          </w:tcPr>
          <w:p>
            <w:pPr>
              <w:pStyle w:val="Style6"/>
              <w:keepNext w:val="0"/>
              <w:keepLines w:val="0"/>
              <w:widowControl w:val="0"/>
              <w:shd w:val="clear" w:color="auto" w:fill="auto"/>
              <w:tabs>
                <w:tab w:leader="dot" w:pos="2196" w:val="left"/>
              </w:tabs>
              <w:bidi w:val="0"/>
              <w:spacing w:line="17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means, professional men, and their wives</w:t>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20,961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579,528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Miscellaneous, and persons without any</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94"/>
        </w:trPr>
        <w:tc>
          <w:tcPr>
            <w:tcBorders>
              <w:left w:val="single" w:sz="4"/>
            </w:tcBorders>
            <w:shd w:val="clear" w:color="auto" w:fill="FFFFFF"/>
            <w:vAlign w:val="bottom"/>
          </w:tcPr>
          <w:p>
            <w:pPr>
              <w:pStyle w:val="Style6"/>
              <w:keepNext w:val="0"/>
              <w:keepLines w:val="0"/>
              <w:widowControl w:val="0"/>
              <w:shd w:val="clear" w:color="auto" w:fill="auto"/>
              <w:tabs>
                <w:tab w:leader="dot" w:pos="237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given description</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60,289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1,394,351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w:t>
            </w:r>
          </w:p>
        </w:tc>
        <w:tc>
          <w:tcPr>
            <w:tcBorders>
              <w:left w:val="single" w:sz="4"/>
              <w:right w:val="single" w:sz="4"/>
            </w:tcBorders>
            <w:shd w:val="clear" w:color="auto" w:fill="FFFFFF"/>
            <w:vAlign w:val="top"/>
          </w:tcPr>
          <w:p>
            <w:pPr>
              <w:widowControl w:val="0"/>
              <w:rPr>
                <w:sz w:val="10"/>
                <w:szCs w:val="10"/>
              </w:rPr>
            </w:pPr>
          </w:p>
        </w:tc>
      </w:tr>
      <w:tr>
        <w:trPr>
          <w:trHeight w:val="104"/>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33"/>
        </w:trPr>
        <w:tc>
          <w:tcPr>
            <w:tcBorders>
              <w:left w:val="single" w:sz="4"/>
            </w:tcBorders>
            <w:shd w:val="clear" w:color="auto" w:fill="FFFFFF"/>
            <w:vAlign w:val="bottom"/>
          </w:tcPr>
          <w:p>
            <w:pPr>
              <w:pStyle w:val="Style6"/>
              <w:keepNext w:val="0"/>
              <w:keepLines w:val="0"/>
              <w:widowControl w:val="0"/>
              <w:shd w:val="clear" w:color="auto" w:fill="auto"/>
              <w:tabs>
                <w:tab w:leader="dot" w:pos="236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tab/>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1,188,147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£29,908,237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two per cent. of the deposits, therefore, either in number or amount, are made by classes whom it may be supposed it was the intention of the legislature to exclude.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person comes with his first deposit to a savings bank he is required to sign a declaration, setting forth his name, address, and occupation, that he desires to become a depositor on his own account, and that he has no money in any other savings bank. If this declaration be not true, the deposits are liable to be forfeited ; but it is to be feared that few depositors take the trouble to read what they are signing, or think much about the meaning of it. If the depositor cannot write, the actuary of the savings bank will usually ask him a few questions, such as his age, mother’s maiden name, &amp;c., which may tend to identify him, or defeat any attempt to personate him for the purpose of withdrawal. The enactment that deposits are to be forfeited if the declaration be false was qualified in 1863 by a provision that the forfeiture should not be enforced unless in the opinion of the appointed barrister (now the solicitor to the treasury) the deposits had been made with a fraudulent intention.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consequence of the determination by the solicitor to the treasury that the deposits have been made with the “ fraudulent ” intention which the Act contemplates is out of all proportion to the nature of the offence committed, being in fact the forfeiture of all the deposits. The prohibition of double deposits arose when the state was granting a rate of interest greater than that which it earned upon the investment of the money, and it has now ceased to have any real reason whatever, the rate of interest being less than earned. The intention to “defraud” now means merely the intention to evade a restriction that has ceased to be necessary, not an intention to deprive anybody of anything that belongs to him. If it be thought desirable to sanction by the infliction of a penalty the law that these institutions should be used only for the savings of the poorer classes, the loss of interest would be a sufficient if not an extravagant penalty, without forfeiture of the principal. Indeed, the present excessive penalty has, in one remarkable case, defeated itself. This was the case of a depositor in an Irish savings bank, who invested in fictitious names the sum of £2000. The solicitor to the treasury felt compelled to declare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these deposits were made with a fraudulent intention. The registrar in Ireland felt bound to act on this determination, and refused to award payment of the deposits. The High Court of Justice and the Court of Appeal refused to grant a mandamus, for the law would not assist a wrongdoer. But parliament itself voted £1000, or half the amount of the forfeiture, the legislature thus providing a remedy for an injustice it had itself committed. Another curious case was that of a young woman, the daughter of a postmaster, who in order that her father might be provided with funds to meet business claims as they became due, purloined money from him and invested it in false names in the post office savings bank kept at his house. In this case, the postmaster him</w:t>
        <w:softHyphen/>
        <w:t>self not being the guilty party, no forfeiture took place.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benefits conferred by the legislature upon depositors in savings banks has been that of exemption from the jurisdiction of the ordinary courts of law in cases of dispute with the trustees. By the Acts of 1817 disputes were to be settled by arbitration. By that of 1828 the barrister appointed to certify the rules of the savings banks (then and until his death in 1870 Mr John Tidd Pratt) was made umpire in case of difference of opinion between the arbitrators. By that of 1844 the arbitrators were abolished, and an original and final jurisdiction was conferred upon the barrister. By an Act of 1876 the functions of the barrister in this respect were conferred upon the registrar of friendly societies. This in effect makes no change in the law, for the offices of barrister and registrar have been always held by the same persons. As early as 1832 it was determined in the case of Crisp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Sir Henry Bunbury that the effect of these enactments is to oust the jurisdiction of all the superior courts of law and equity, and the authority of that decision has never been shaken or even doubted.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1876 the registrar of friendly societies has made 147 awards in cases of disputes with savings banks, in addition to 169 on disputes with the post office savings bank. As the writer of the present article is one of the two persons in whom this jurisdic</w:t>
        <w:softHyphen/>
        <w:t>tion is vested for England, he hopes he may be excused for express</w:t>
        <w:softHyphen/>
        <w:t>ing the opinion that its exercise has been highly beneficial to depositors in savings banks. The costs of the award are limited by treasury warrant to a few shillings, never exceeding £1. The procedure is simple and elastic, and the results are believed to be satisfactory. The central office, acting as registrar, determines law and fact, and adjusts all the equities of each case. Reference to the index to the registrar’s decisions appended to the chief registrar’s report for 1883, or to Mr Forbes’s useful work, will show that many interesting questions of law have had to be determined with regard to so small a matter as the ownership of a savings bank deposit.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Questions between husband and wife as to property including deposits in savings banks are now, under the Married Women’s Property Act, settled by the judges of county courts. Where a depositor, as often happens, is of illegitimate birth, a special pro</w:t>
        <w:softHyphen/>
        <w:t>vision is made by the Savings Bank Act in favour of his relatives, to whom the solicitor to the treasury may award his deposits. It is open to any depositor to nominate a person to whom the amount due to him at his death shall be payable, provided it does not exceed £100 and the nominee is not an officer or servant of the bank, unless indeed such officer or servant is related to the depositor. This privilege, derived from the Provident Nominations and Small Intestacies Act passed in 1883, is not yet sufficiently known to the bulk of depositors, and has not been used to any large extent, but may be expected in time to become very valuable. It is an extension of a privilege enjoyed by members of friendly societies since 1855, and also by industrial and provident societies and trade unions.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painful chapter in the history of savings banks is that occupied by the frauds of actuaries, which have caused losses to depositors of not less than £150,000. It too often happens that, where the only supervision is that of honorary officers, a paid servant may commit frauds unchecked over a long period of time. In the case of a savings bank at Rochdale, £71,715 was stolen by the actuary, and £37,433 of this loss had to be borne by the depositors. In one at Dublin the loss was £56,000, and in one at Tralee £36,000. These unhappy events must have greatly dis</w:t>
        <w:softHyphen/>
        <w:t>couraged the poor, and checked the progress of savings banks. There is, however, the compensating fact that the savings made by the people of Rochdale since 1849, when the savings bank there was closed, have taken the more favourable direction of promoting the great co-operative enterprises of that town. Savings banks, valuable and important as their benefits are, are still only elementary teachers of providence, and it is well for the workman to learn not merely to save money but to employ his savings to advan</w:t>
        <w:softHyphen/>
        <w:t>tage. The stringent legislation as to audit of 1863 has diminished frauds on savings banks, and they are now rarely heard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connexion with savings banks, and as auxiliaries to them, are penny banks. An ordinary savings bank will not accept a deposit</w:t>
      </w:r>
    </w:p>
    <w:p>
      <w:pPr>
        <w:pStyle w:val="Style3"/>
        <w:keepNext w:val="0"/>
        <w:keepLines w:val="0"/>
        <w:widowControl w:val="0"/>
        <w:shd w:val="clear" w:color="auto" w:fill="auto"/>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Since (he above was written the disclosure of frauds of long standing in the Cardiff savings bank has taken place.</w:t>
      </w:r>
    </w:p>
    <w:sectPr>
      <w:footnotePr>
        <w:pos w:val="pageBottom"/>
        <w:numFmt w:val="decimal"/>
        <w:numRestart w:val="continuous"/>
      </w:footnotePr>
      <w:pgSz w:w="12240" w:h="16840"/>
      <w:pgMar w:top="1888" w:left="1503" w:right="1193" w:bottom="10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