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species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and the conditions (the medium, temperature, &amp;c.), enormous collections of isolated cells may cloud the fluid in which they are cultivated, or form deposits below or films on its surface 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valuable charac</w:t>
        <w:softHyphen/>
        <w:t>ters are sometimes obtained from these appearances.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When these dense “ swarms ” of ve</w:t>
        <w:softHyphen/>
        <w:t>getative cells be</w:t>
        <w:softHyphen/>
        <w:t>come fixed in a matrix of their own swollen con</w:t>
        <w:softHyphen/>
        <w:t xml:space="preserve">tiguous cell-walls, they pass over into a sort of resting state as a so-called </w:t>
      </w:r>
      <w:r>
        <w:rPr>
          <w:color w:val="4E473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zooglœa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(fig. 3).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One of the most remarkable phenomena in the life- history of the Schizomycetes is the formation of this </w:t>
      </w:r>
      <w:r>
        <w:rPr>
          <w:color w:val="4E473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zooglœa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stage, which corresponds to the “ palmella ” con</w:t>
        <w:softHyphen/>
        <w:t>dition of the lower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Algae.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This occurs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as a membrane on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the surface of the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medium, or as irre</w:t>
        <w:softHyphen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gular clumps or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branched masses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(sometimes several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inches across) sub</w:t>
        <w:softHyphen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merged in it, and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consists of more or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less gelatinous ma</w:t>
        <w:softHyphen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trix enclosing in</w:t>
        <w:softHyphen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numerable “cocci,”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“ bacteria,” or other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elements of the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Schizomycete con</w:t>
        <w:softHyphen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cerned. Formerly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850" w:lineRule="exact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regarded as a distinct genus—the natural fate of all the various forms—the </w:t>
      </w:r>
      <w:r>
        <w:rPr>
          <w:color w:val="4E473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zooglœa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is now known to be a sort of resting condition of the Schizomycetes, the various elements being glued together, as it were, by their enormously swollen and diffluent cell-walls becoming con</w:t>
        <w:softHyphen/>
        <w:t xml:space="preserve">tiguous. The </w:t>
      </w:r>
      <w:r>
        <w:rPr>
          <w:color w:val="4E473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zooglœa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is formed by active division of single or of several mother-cells, and the progeny appear to go on secreting the cell-wall substance, which then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absorbs many times its volume of water,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remains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 a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consistent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matrix, in which the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cells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come to rest. The matrix—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.e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.,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swollen cell-walls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—in some cases consists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mainly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cellulose, in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others chiefly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“ my-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coprotein,”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substance said to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 met with in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protoplasm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ma</w:t>
        <w:softHyphen/>
        <w:t xml:space="preserve">trix in some cases is horny and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resistent,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others more like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thick solution of gum. It is intelligible from the mode of formation that foreign bodies may be</w:t>
        <w:softHyphen/>
        <w:t xml:space="preserve">come entangled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gelatinous matrix, and compound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zooglœæ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may arise by the apposition of several distinct forms, a common event in ma</w:t>
        <w:softHyphen/>
        <w:t>cerating troughs (fig. 3,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A). Characteristic forms may be assumed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by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young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zooglœa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of differ</w:t>
        <w:softHyphen/>
        <w:t>ent species,—spherical, ovoid, reticular, filament</w:t>
        <w:softHyphen/>
        <w:t xml:space="preserve">ous,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fruticose,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lamellar,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&amp;c.,—but these vary considerably as the mass increases or comes in contact with others. Older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zooglœæ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may precipi</w:t>
        <w:softHyphen/>
        <w:t xml:space="preserve">tate oxide of iron in the matrix, if that metal exists in small quantities in the medium. Under favourable conditions the elements in the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zooglœa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again become active, and move out of the matrix, distribute themselves in the surrounding medium, to grow and multiply as before (fig. 4). If the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zooglœa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is formed on a solid substratum it may become firm and horny; immersion in water softens it as described above.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Spores.—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Spores or resting-cells are now known in many Schizomycetes (fig. 5). They may be formed in two ways.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Leuconostoc, Bacterium zopfii, Crenothrix, Beggiatoa,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Cladothrix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spore is simply one of the smallest segments (“cocci”) into which the filament at length breaks up.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Bary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terms such forms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“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arthrosporous ”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(cf.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figs.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8, 13, 14, and 16). In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others the formation of the spore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“endosporous” </w:t>
      </w:r>
      <w:r>
        <w:rPr>
          <w:color w:val="4E473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(De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Bary). It begins with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appearance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a minute granule in the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protoplasm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of a vegetative cell ; this granule enlarges, and in a few</w:t>
      </w:r>
    </w:p>
    <w:sectPr>
      <w:footnotePr>
        <w:pos w:val="pageBottom"/>
        <w:numFmt w:val="decimal"/>
        <w:numRestart w:val="continuous"/>
      </w:footnotePr>
      <w:pgSz w:w="12240" w:h="16840"/>
      <w:pgMar w:top="1955" w:left="1281" w:right="1484" w:bottom="1074" w:header="1527" w:footer="646" w:gutter="0"/>
      <w:pgNumType w:start="34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 (5)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B745B"/>
      <w:sz w:val="18"/>
      <w:szCs w:val="18"/>
      <w:u w:val="none"/>
    </w:rPr>
  </w:style>
  <w:style w:type="paragraph" w:customStyle="1" w:styleId="Style2">
    <w:name w:val="Body text (5)"/>
    <w:basedOn w:val="Normal"/>
    <w:link w:val="CharStyle3"/>
    <w:pPr>
      <w:widowControl w:val="0"/>
      <w:shd w:val="clear" w:color="auto" w:fill="FFFFFF"/>
      <w:spacing w:line="223" w:lineRule="auto"/>
      <w:jc w:val="both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B745B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