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recent times they had only huts made of osiers and led a half nomadic life. Certainly municipal institutions are no feature of Slavonic life, and the paucity of large towns in Russia is striking even at the present day. According to Kreck, words are to be found very early which show the development of the nation from the family. Thus the commune (o</w:t>
      </w:r>
      <w:r>
        <w:rPr>
          <w:i/>
          <w:iCs/>
          <w:spacing w:val="0"/>
          <w:w w:val="100"/>
          <w:position w:val="0"/>
          <w:shd w:val="clear" w:color="auto" w:fill="auto"/>
          <w:lang w:val="en-US" w:eastAsia="en-US" w:bidi="en-US"/>
        </w:rPr>
        <w:t>bstchina, rod)</w:t>
      </w:r>
      <w:r>
        <w:rPr>
          <w:spacing w:val="0"/>
          <w:w w:val="100"/>
          <w:position w:val="0"/>
          <w:shd w:val="clear" w:color="auto" w:fill="auto"/>
          <w:lang w:val="en-US" w:eastAsia="en-US" w:bidi="en-US"/>
        </w:rPr>
        <w:t xml:space="preserve"> becomes the family </w:t>
      </w:r>
      <w:r>
        <w:rPr>
          <w:i/>
          <w:iCs/>
          <w:spacing w:val="0"/>
          <w:w w:val="100"/>
          <w:position w:val="0"/>
          <w:shd w:val="clear" w:color="auto" w:fill="auto"/>
          <w:lang w:val="en-US" w:eastAsia="en-US" w:bidi="en-US"/>
        </w:rPr>
        <w:t>(ρlemya)</w:t>
      </w:r>
      <w:r>
        <w:rPr>
          <w:spacing w:val="0"/>
          <w:w w:val="100"/>
          <w:position w:val="0"/>
          <w:shd w:val="clear" w:color="auto" w:fill="auto"/>
          <w:lang w:val="en-US" w:eastAsia="en-US" w:bidi="en-US"/>
        </w:rPr>
        <w:t xml:space="preserve"> and the family the people </w:t>
      </w:r>
      <w:r>
        <w:rPr>
          <w:i/>
          <w:iCs/>
          <w:spacing w:val="0"/>
          <w:w w:val="100"/>
          <w:position w:val="0"/>
          <w:shd w:val="clear" w:color="auto" w:fill="auto"/>
          <w:lang w:val="en-US" w:eastAsia="en-US" w:bidi="en-US"/>
        </w:rPr>
        <w:t>(narod, yenzik).</w:t>
      </w:r>
      <w:r>
        <w:rPr>
          <w:spacing w:val="0"/>
          <w:w w:val="100"/>
          <w:position w:val="0"/>
          <w:shd w:val="clear" w:color="auto" w:fill="auto"/>
          <w:lang w:val="en-US" w:eastAsia="en-US" w:bidi="en-US"/>
        </w:rPr>
        <w:t xml:space="preserve"> There are common terms for law </w:t>
      </w:r>
      <w:r>
        <w:rPr>
          <w:i/>
          <w:iCs/>
          <w:spacing w:val="0"/>
          <w:w w:val="100"/>
          <w:position w:val="0"/>
          <w:shd w:val="clear" w:color="auto" w:fill="auto"/>
          <w:lang w:val="en-US" w:eastAsia="en-US" w:bidi="en-US"/>
        </w:rPr>
        <w:t>(pvavo pravda,</w:t>
      </w:r>
      <w:r>
        <w:rPr>
          <w:spacing w:val="0"/>
          <w:w w:val="100"/>
          <w:position w:val="0"/>
          <w:shd w:val="clear" w:color="auto" w:fill="auto"/>
          <w:lang w:val="en-US" w:eastAsia="en-US" w:bidi="en-US"/>
        </w:rPr>
        <w:t xml:space="preserve"> “ right ”; </w:t>
      </w:r>
      <w:r>
        <w:rPr>
          <w:i/>
          <w:iCs/>
          <w:spacing w:val="0"/>
          <w:w w:val="100"/>
          <w:position w:val="0"/>
          <w:shd w:val="clear" w:color="auto" w:fill="auto"/>
          <w:lang w:val="en-US" w:eastAsia="en-US" w:bidi="en-US"/>
        </w:rPr>
        <w:t>zakon,</w:t>
      </w:r>
      <w:r>
        <w:rPr>
          <w:spacing w:val="0"/>
          <w:w w:val="100"/>
          <w:position w:val="0"/>
          <w:shd w:val="clear" w:color="auto" w:fill="auto"/>
          <w:lang w:val="en-US" w:eastAsia="en-US" w:bidi="en-US"/>
        </w:rPr>
        <w:t xml:space="preserve"> “law”). Besides agricultural pursuits we have mention of the arts of braiding </w:t>
      </w:r>
      <w:r>
        <w:rPr>
          <w:i/>
          <w:iCs/>
          <w:spacing w:val="0"/>
          <w:w w:val="100"/>
          <w:position w:val="0"/>
          <w:shd w:val="clear" w:color="auto" w:fill="auto"/>
          <w:lang w:val="en-US" w:eastAsia="en-US" w:bidi="en-US"/>
        </w:rPr>
        <w:t>(plesti),</w:t>
      </w:r>
      <w:r>
        <w:rPr>
          <w:spacing w:val="0"/>
          <w:w w:val="100"/>
          <w:position w:val="0"/>
          <w:shd w:val="clear" w:color="auto" w:fill="auto"/>
          <w:lang w:val="en-US" w:eastAsia="en-US" w:bidi="en-US"/>
        </w:rPr>
        <w:t xml:space="preserve"> weaving </w:t>
      </w:r>
      <w:r>
        <w:rPr>
          <w:i/>
          <w:iCs/>
          <w:spacing w:val="0"/>
          <w:w w:val="100"/>
          <w:position w:val="0"/>
          <w:shd w:val="clear" w:color="auto" w:fill="auto"/>
          <w:lang w:val="en-US" w:eastAsia="en-US" w:bidi="en-US"/>
        </w:rPr>
        <w:t>(tkati),</w:t>
      </w:r>
      <w:r>
        <w:rPr>
          <w:spacing w:val="0"/>
          <w:w w:val="100"/>
          <w:position w:val="0"/>
          <w:shd w:val="clear" w:color="auto" w:fill="auto"/>
          <w:lang w:val="en-US" w:eastAsia="en-US" w:bidi="en-US"/>
        </w:rPr>
        <w:t xml:space="preserve"> tailoring in a series of common expressions for portions of apparel, carpentering </w:t>
      </w:r>
      <w:r>
        <w:rPr>
          <w:i/>
          <w:iCs/>
          <w:spacing w:val="0"/>
          <w:w w:val="100"/>
          <w:position w:val="0"/>
          <w:shd w:val="clear" w:color="auto" w:fill="auto"/>
          <w:lang w:val="en-US" w:eastAsia="en-US" w:bidi="en-US"/>
        </w:rPr>
        <w:t>(tesati),</w:t>
      </w:r>
      <w:r>
        <w:rPr>
          <w:spacing w:val="0"/>
          <w:w w:val="100"/>
          <w:position w:val="0"/>
          <w:shd w:val="clear" w:color="auto" w:fill="auto"/>
          <w:lang w:val="en-US" w:eastAsia="en-US" w:bidi="en-US"/>
        </w:rPr>
        <w:t xml:space="preserve"> working in iron, &amp;c. Of the primitive Slavonic flora we have the oak </w:t>
      </w:r>
      <w:r>
        <w:rPr>
          <w:i/>
          <w:iCs/>
          <w:spacing w:val="0"/>
          <w:w w:val="100"/>
          <w:position w:val="0"/>
          <w:shd w:val="clear" w:color="auto" w:fill="auto"/>
          <w:lang w:val="en-US" w:eastAsia="en-US" w:bidi="en-US"/>
        </w:rPr>
        <w:t>(doub),</w:t>
      </w:r>
      <w:r>
        <w:rPr>
          <w:spacing w:val="0"/>
          <w:w w:val="100"/>
          <w:position w:val="0"/>
          <w:shd w:val="clear" w:color="auto" w:fill="auto"/>
          <w:lang w:val="en-US" w:eastAsia="en-US" w:bidi="en-US"/>
        </w:rPr>
        <w:t xml:space="preserve"> the lime tree </w:t>
      </w:r>
      <w:r>
        <w:rPr>
          <w:i/>
          <w:iCs/>
          <w:spacing w:val="0"/>
          <w:w w:val="100"/>
          <w:position w:val="0"/>
          <w:shd w:val="clear" w:color="auto" w:fill="auto"/>
          <w:lang w:val="en-US" w:eastAsia="en-US" w:bidi="en-US"/>
        </w:rPr>
        <w:t>(lipa),</w:t>
      </w:r>
      <w:r>
        <w:rPr>
          <w:spacing w:val="0"/>
          <w:w w:val="100"/>
          <w:position w:val="0"/>
          <w:shd w:val="clear" w:color="auto" w:fill="auto"/>
          <w:lang w:val="en-US" w:eastAsia="en-US" w:bidi="en-US"/>
        </w:rPr>
        <w:t xml:space="preserve"> the acorn </w:t>
      </w:r>
      <w:r>
        <w:rPr>
          <w:i/>
          <w:iCs/>
          <w:spacing w:val="0"/>
          <w:w w:val="100"/>
          <w:position w:val="0"/>
          <w:shd w:val="clear" w:color="auto" w:fill="auto"/>
          <w:lang w:val="en-US" w:eastAsia="en-US" w:bidi="en-US"/>
        </w:rPr>
        <w:t>(yavor),</w:t>
      </w:r>
      <w:r>
        <w:rPr>
          <w:spacing w:val="0"/>
          <w:w w:val="100"/>
          <w:position w:val="0"/>
          <w:shd w:val="clear" w:color="auto" w:fill="auto"/>
          <w:lang w:val="en-US" w:eastAsia="en-US" w:bidi="en-US"/>
        </w:rPr>
        <w:t xml:space="preserve"> the beech </w:t>
      </w:r>
      <w:r>
        <w:rPr>
          <w:i/>
          <w:iCs/>
          <w:spacing w:val="0"/>
          <w:w w:val="100"/>
          <w:position w:val="0"/>
          <w:shd w:val="clear" w:color="auto" w:fill="auto"/>
          <w:lang w:val="en-US" w:eastAsia="en-US" w:bidi="en-US"/>
        </w:rPr>
        <w:t>(bouky),</w:t>
      </w:r>
      <w:r>
        <w:rPr>
          <w:spacing w:val="0"/>
          <w:w w:val="100"/>
          <w:position w:val="0"/>
          <w:shd w:val="clear" w:color="auto" w:fill="auto"/>
          <w:lang w:val="en-US" w:eastAsia="en-US" w:bidi="en-US"/>
        </w:rPr>
        <w:t xml:space="preserve"> the willow </w:t>
      </w:r>
      <w:r>
        <w:rPr>
          <w:i/>
          <w:iCs/>
          <w:spacing w:val="0"/>
          <w:w w:val="100"/>
          <w:position w:val="0"/>
          <w:shd w:val="clear" w:color="auto" w:fill="auto"/>
          <w:lang w:val="en-US" w:eastAsia="en-US" w:bidi="en-US"/>
        </w:rPr>
        <w:t>(vr’ba),</w:t>
      </w:r>
      <w:r>
        <w:rPr>
          <w:spacing w:val="0"/>
          <w:w w:val="100"/>
          <w:position w:val="0"/>
          <w:shd w:val="clear" w:color="auto" w:fill="auto"/>
          <w:lang w:val="en-US" w:eastAsia="en-US" w:bidi="en-US"/>
        </w:rPr>
        <w:t xml:space="preserve"> the birch </w:t>
      </w:r>
      <w:r>
        <w:rPr>
          <w:i/>
          <w:iCs/>
          <w:spacing w:val="0"/>
          <w:w w:val="100"/>
          <w:position w:val="0"/>
          <w:shd w:val="clear" w:color="auto" w:fill="auto"/>
          <w:lang w:val="fr-FR" w:eastAsia="fr-FR" w:bidi="fr-FR"/>
        </w:rPr>
        <w:t>(br</w:t>
      </w:r>
      <w:r>
        <w:rPr>
          <w:i/>
          <w:iCs/>
          <w:color w:val="000000"/>
          <w:spacing w:val="0"/>
          <w:w w:val="100"/>
          <w:position w:val="0"/>
          <w:shd w:val="clear" w:color="auto" w:fill="auto"/>
          <w:lang w:val="en-US" w:eastAsia="en-US" w:bidi="en-US"/>
        </w:rPr>
        <w:t>ě</w:t>
      </w:r>
      <w:r>
        <w:rPr>
          <w:i/>
          <w:iCs/>
          <w:spacing w:val="0"/>
          <w:w w:val="100"/>
          <w:position w:val="0"/>
          <w:shd w:val="clear" w:color="auto" w:fill="auto"/>
          <w:lang w:val="fr-FR" w:eastAsia="fr-FR" w:bidi="fr-FR"/>
        </w:rPr>
        <w:t>za),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pine </w:t>
      </w:r>
      <w:r>
        <w:rPr>
          <w:i/>
          <w:iCs/>
          <w:spacing w:val="0"/>
          <w:w w:val="100"/>
          <w:position w:val="0"/>
          <w:shd w:val="clear" w:color="auto" w:fill="auto"/>
          <w:lang w:val="en-US" w:eastAsia="en-US" w:bidi="en-US"/>
        </w:rPr>
        <w:t>(bor),</w:t>
      </w:r>
      <w:r>
        <w:rPr>
          <w:spacing w:val="0"/>
          <w:w w:val="100"/>
          <w:position w:val="0"/>
          <w:shd w:val="clear" w:color="auto" w:fill="auto"/>
          <w:lang w:val="en-US" w:eastAsia="en-US" w:bidi="en-US"/>
        </w:rPr>
        <w:t xml:space="preserve"> as also special kinds of fruit, the apple </w:t>
      </w:r>
      <w:r>
        <w:rPr>
          <w:i/>
          <w:iCs/>
          <w:spacing w:val="0"/>
          <w:w w:val="100"/>
          <w:position w:val="0"/>
          <w:shd w:val="clear" w:color="auto" w:fill="auto"/>
          <w:lang w:val="en-US" w:eastAsia="en-US" w:bidi="en-US"/>
        </w:rPr>
        <w:t>(yabl’ko),</w:t>
      </w:r>
      <w:r>
        <w:rPr>
          <w:spacing w:val="0"/>
          <w:w w:val="100"/>
          <w:position w:val="0"/>
          <w:shd w:val="clear" w:color="auto" w:fill="auto"/>
          <w:lang w:val="en-US" w:eastAsia="en-US" w:bidi="en-US"/>
        </w:rPr>
        <w:t xml:space="preserve"> the pear </w:t>
      </w:r>
      <w:r>
        <w:rPr>
          <w:i/>
          <w:iCs/>
          <w:spacing w:val="0"/>
          <w:w w:val="100"/>
          <w:position w:val="0"/>
          <w:shd w:val="clear" w:color="auto" w:fill="auto"/>
          <w:lang w:val="en-US" w:eastAsia="en-US" w:bidi="en-US"/>
        </w:rPr>
        <w:t>(grousha),</w:t>
      </w:r>
      <w:r>
        <w:rPr>
          <w:spacing w:val="0"/>
          <w:w w:val="100"/>
          <w:position w:val="0"/>
          <w:shd w:val="clear" w:color="auto" w:fill="auto"/>
          <w:lang w:val="en-US" w:eastAsia="en-US" w:bidi="en-US"/>
        </w:rPr>
        <w:t xml:space="preserve"> the cherry </w:t>
      </w:r>
      <w:r>
        <w:rPr>
          <w:i/>
          <w:iCs/>
          <w:spacing w:val="0"/>
          <w:w w:val="100"/>
          <w:position w:val="0"/>
          <w:shd w:val="clear" w:color="auto" w:fill="auto"/>
          <w:lang w:val="en-US" w:eastAsia="en-US" w:bidi="en-US"/>
        </w:rPr>
        <w:t xml:space="preserve">(vishnya), </w:t>
      </w:r>
      <w:r>
        <w:rPr>
          <w:spacing w:val="0"/>
          <w:w w:val="100"/>
          <w:position w:val="0"/>
          <w:shd w:val="clear" w:color="auto" w:fill="auto"/>
          <w:lang w:val="en-US" w:eastAsia="en-US" w:bidi="en-US"/>
        </w:rPr>
        <w:t xml:space="preserve">the nut </w:t>
      </w:r>
      <w:r>
        <w:rPr>
          <w:i/>
          <w:iCs/>
          <w:spacing w:val="0"/>
          <w:w w:val="100"/>
          <w:position w:val="0"/>
          <w:shd w:val="clear" w:color="auto" w:fill="auto"/>
          <w:lang w:val="en-US" w:eastAsia="en-US" w:bidi="en-US"/>
        </w:rPr>
        <w:t>(orekh),</w:t>
      </w:r>
      <w:r>
        <w:rPr>
          <w:spacing w:val="0"/>
          <w:w w:val="100"/>
          <w:position w:val="0"/>
          <w:shd w:val="clear" w:color="auto" w:fill="auto"/>
          <w:lang w:val="en-US" w:eastAsia="en-US" w:bidi="en-US"/>
        </w:rPr>
        <w:t xml:space="preserve"> and the plum </w:t>
      </w:r>
      <w:r>
        <w:rPr>
          <w:i/>
          <w:iCs/>
          <w:spacing w:val="0"/>
          <w:w w:val="100"/>
          <w:position w:val="0"/>
          <w:shd w:val="clear" w:color="auto" w:fill="auto"/>
          <w:lang w:val="en-US" w:eastAsia="en-US" w:bidi="en-US"/>
        </w:rPr>
        <w:t>(sliva).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Pictet placed the original home of the German and Litu-Slavic races on the northern bank of the Oxus. Thence he thought they came over the extensive plains of Scythia to the </w:t>
      </w:r>
      <w:r>
        <w:rPr>
          <w:spacing w:val="0"/>
          <w:w w:val="100"/>
          <w:position w:val="0"/>
          <w:shd w:val="clear" w:color="auto" w:fill="auto"/>
          <w:lang w:val="la-001" w:eastAsia="la-001" w:bidi="la-001"/>
        </w:rPr>
        <w:t>Pontus Euxinus.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doctrine of the European origin of the Aryans appears to be steadily gaining ground. It is supported by Professors Rhys and Sayce of Oxford. The last-named is inclined to see the home of the Indo-European race in “the district in the neighbourhood of the Baltic.” Dr Ludwig Wilser@@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makes Sweden and the north German shores the centre of the primitive Aryans, from which the Germanic tribes, Celts, Latins, Greeks, Slavs, Lithuanians, Iranians, and the invaders of India gradually detached themselves, migrating mostly southwards and eastwards.@@</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Leaving now the attempts to determine the primitive home of the Slavs and the date of their immigration into Europe, and also the names which they have in common, whether used by themselves or given by foreigners, we will trace as far as possible the derivation of the chief appellations of the Slavonic peoples. (1) </w:t>
      </w:r>
      <w:r>
        <w:rPr>
          <w:i/>
          <w:iCs/>
          <w:spacing w:val="0"/>
          <w:w w:val="100"/>
          <w:position w:val="0"/>
          <w:shd w:val="clear" w:color="auto" w:fill="auto"/>
          <w:lang w:val="en-US" w:eastAsia="en-US" w:bidi="en-US"/>
        </w:rPr>
        <w:t>Russians.—</w:t>
      </w:r>
      <w:r>
        <w:rPr>
          <w:spacing w:val="0"/>
          <w:w w:val="100"/>
          <w:position w:val="0"/>
          <w:shd w:val="clear" w:color="auto" w:fill="auto"/>
          <w:lang w:val="en-US" w:eastAsia="en-US" w:bidi="en-US"/>
        </w:rPr>
        <w:t xml:space="preserve">For an analysis of this name see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87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Bulgarians.—By</w:t>
      </w:r>
      <w:r>
        <w:rPr>
          <w:spacing w:val="0"/>
          <w:w w:val="100"/>
          <w:position w:val="0"/>
          <w:shd w:val="clear" w:color="auto" w:fill="auto"/>
          <w:lang w:val="en-US" w:eastAsia="en-US" w:bidi="en-US"/>
        </w:rPr>
        <w:t xml:space="preserve"> the 3d century we find Slavs settled between the Danube and the Balkans. Immigrations were going on till the middle of the 7th century, as these hordes were driven southwards by new invaders. About 681 the Slavonic settlers fell under the yoke of the Bulgarians, a Ugro-Finnish race, if we accept the views of Schafarik, Drinoff, and others. The origin of the Bulgarians them</w:t>
        <w:softHyphen/>
        <w:t>selves is obscure. Some have made them Tatars. Pro</w:t>
        <w:softHyphen/>
        <w:t>fessor Ilovaiski believes them to have been Slavs. The theory which connects the name “ Bulgarian,” “ Bolgare,” with the Volga is now no longer held. Early modifica</w:t>
        <w:softHyphen/>
        <w:t xml:space="preserve">tions of the name, such as Burgari, Wurgari, &amp;c., show its analogy with forms like Onoguri, Uturguri, Kutriguri. The elements of the word are </w:t>
      </w:r>
      <w:r>
        <w:rPr>
          <w:i/>
          <w:iCs/>
          <w:spacing w:val="0"/>
          <w:w w:val="100"/>
          <w:position w:val="0"/>
          <w:shd w:val="clear" w:color="auto" w:fill="auto"/>
          <w:lang w:val="en-US" w:eastAsia="en-US" w:bidi="en-US"/>
        </w:rPr>
        <w:t>bul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gari.</w:t>
      </w:r>
      <w:r>
        <w:rPr>
          <w:spacing w:val="0"/>
          <w:w w:val="100"/>
          <w:position w:val="0"/>
          <w:shd w:val="clear" w:color="auto" w:fill="auto"/>
          <w:lang w:val="en-US" w:eastAsia="en-US" w:bidi="en-US"/>
        </w:rPr>
        <w:t xml:space="preserve"> Professor </w:t>
      </w:r>
      <w:r>
        <w:rPr>
          <w:spacing w:val="0"/>
          <w:w w:val="100"/>
          <w:position w:val="0"/>
          <w:shd w:val="clear" w:color="auto" w:fill="auto"/>
          <w:lang w:val="fr-FR" w:eastAsia="fr-FR" w:bidi="fr-FR"/>
        </w:rPr>
        <w:t xml:space="preserve">Vambéry </w:t>
      </w:r>
      <w:r>
        <w:rPr>
          <w:spacing w:val="0"/>
          <w:w w:val="100"/>
          <w:position w:val="0"/>
          <w:shd w:val="clear" w:color="auto" w:fill="auto"/>
          <w:lang w:val="en-US" w:eastAsia="en-US" w:bidi="en-US"/>
        </w:rPr>
        <w:t xml:space="preserve">attempts to derive the name from the Turkish verb </w:t>
      </w:r>
      <w:r>
        <w:rPr>
          <w:i/>
          <w:iCs/>
          <w:spacing w:val="0"/>
          <w:w w:val="100"/>
          <w:position w:val="0"/>
          <w:shd w:val="clear" w:color="auto" w:fill="auto"/>
          <w:lang w:val="en-US" w:eastAsia="en-US" w:bidi="en-US"/>
        </w:rPr>
        <w:t>bulga-mak,</w:t>
      </w:r>
      <w:r>
        <w:rPr>
          <w:spacing w:val="0"/>
          <w:w w:val="100"/>
          <w:position w:val="0"/>
          <w:shd w:val="clear" w:color="auto" w:fill="auto"/>
          <w:lang w:val="en-US" w:eastAsia="en-US" w:bidi="en-US"/>
        </w:rPr>
        <w:t xml:space="preserve"> “to revolt”; but this seems little better than a guess. We are told that Koubrat, a Bulgarian prince, made himself independent of the Avars, and that on his death his territories were divided among his five sons. The eldest remained in the ancient settlement on the Volga, where the ruins of their former capital, Bolgari, are still to be seen. The third son, Asparoukh, crossed the Dnieper and the Dniester, and settled in a place called Onklus, probably the Old Slavonic </w:t>
      </w:r>
      <w:r>
        <w:rPr>
          <w:i/>
          <w:iCs/>
          <w:spacing w:val="0"/>
          <w:w w:val="100"/>
          <w:position w:val="0"/>
          <w:shd w:val="clear" w:color="auto" w:fill="auto"/>
          <w:lang w:val="en-US" w:eastAsia="en-US" w:bidi="en-US"/>
        </w:rPr>
        <w:t>ongl, “</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angulus,”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between the Transylvanian Alps and the Danube.@@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From this place they migrated to the localities which they have since occupied, where they became mixed with the original settlers, to whom they gave their name, just as the German Franks imposed theirs on the Gauls, and a branch of the Slavonians took the Finnish name of their conquerors.</w:t>
      </w:r>
    </w:p>
    <w:p>
      <w:pPr>
        <w:pStyle w:val="Style2"/>
        <w:keepNext w:val="0"/>
        <w:keepLines w:val="0"/>
        <w:widowControl w:val="0"/>
        <w:shd w:val="clear" w:color="auto" w:fill="auto"/>
        <w:tabs>
          <w:tab w:pos="317" w:val="left"/>
        </w:tabs>
        <w:bidi w:val="0"/>
        <w:ind w:left="0" w:firstLine="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Serbs.—</w:t>
      </w:r>
      <w:r>
        <w:rPr>
          <w:spacing w:val="0"/>
          <w:w w:val="100"/>
          <w:position w:val="0"/>
          <w:shd w:val="clear" w:color="auto" w:fill="auto"/>
          <w:lang w:val="en-US" w:eastAsia="en-US" w:bidi="en-US"/>
        </w:rPr>
        <w:t xml:space="preserve">See </w:t>
      </w:r>
      <w:r>
        <w:rPr>
          <w:smallCaps/>
          <w:spacing w:val="0"/>
          <w:w w:val="100"/>
          <w:position w:val="0"/>
          <w:shd w:val="clear" w:color="auto" w:fill="auto"/>
          <w:lang w:val="fr-FR" w:eastAsia="fr-FR" w:bidi="fr-FR"/>
        </w:rPr>
        <w:t>Servi</w:t>
      </w:r>
      <w:r>
        <w:rPr>
          <w:smallCap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(vol. xxi. p. 688). The name “ Croat ” has been already explained under </w:t>
      </w:r>
      <w:r>
        <w:rPr>
          <w:smallCaps/>
          <w:spacing w:val="0"/>
          <w:w w:val="100"/>
          <w:position w:val="0"/>
          <w:shd w:val="clear" w:color="auto" w:fill="auto"/>
          <w:lang w:val="en-US" w:eastAsia="en-US" w:bidi="en-US"/>
        </w:rPr>
        <w:t xml:space="preserve">Servia </w:t>
      </w:r>
      <w:r>
        <w:rPr>
          <w:i/>
          <w:iCs/>
          <w:spacing w:val="0"/>
          <w:w w:val="100"/>
          <w:position w:val="0"/>
          <w:shd w:val="clear" w:color="auto" w:fill="auto"/>
          <w:lang w:val="en-US" w:eastAsia="en-US" w:bidi="en-US"/>
        </w:rPr>
        <w:t>(l.c.).</w:t>
      </w:r>
    </w:p>
    <w:p>
      <w:pPr>
        <w:pStyle w:val="Style2"/>
        <w:keepNext w:val="0"/>
        <w:keepLines w:val="0"/>
        <w:widowControl w:val="0"/>
        <w:shd w:val="clear" w:color="auto" w:fill="auto"/>
        <w:tabs>
          <w:tab w:pos="284" w:val="left"/>
        </w:tabs>
        <w:bidi w:val="0"/>
        <w:ind w:left="0" w:firstLine="0"/>
        <w:jc w:val="left"/>
      </w:pPr>
      <w:r>
        <w:rPr>
          <w:spacing w:val="0"/>
          <w:w w:val="100"/>
          <w:position w:val="0"/>
          <w:shd w:val="clear" w:color="auto" w:fill="auto"/>
          <w:lang w:val="en-US" w:eastAsia="en-US" w:bidi="en-US"/>
        </w:rPr>
        <w:t>(4)</w:t>
        <w:tab/>
        <w:t xml:space="preserve">The </w:t>
      </w:r>
      <w:r>
        <w:rPr>
          <w:i/>
          <w:iCs/>
          <w:spacing w:val="0"/>
          <w:w w:val="100"/>
          <w:position w:val="0"/>
          <w:shd w:val="clear" w:color="auto" w:fill="auto"/>
          <w:lang w:val="en-US" w:eastAsia="en-US" w:bidi="en-US"/>
        </w:rPr>
        <w:t>Slovenes</w:t>
      </w:r>
      <w:r>
        <w:rPr>
          <w:spacing w:val="0"/>
          <w:w w:val="100"/>
          <w:position w:val="0"/>
          <w:shd w:val="clear" w:color="auto" w:fill="auto"/>
          <w:lang w:val="en-US" w:eastAsia="en-US" w:bidi="en-US"/>
        </w:rPr>
        <w:t xml:space="preserve"> have preserved an old form of the family</w:t>
      </w:r>
    </w:p>
    <w:p>
      <w:pPr>
        <w:pStyle w:val="Style2"/>
        <w:keepNext w:val="0"/>
        <w:keepLines w:val="0"/>
        <w:widowControl w:val="0"/>
        <w:shd w:val="clear" w:color="auto" w:fill="auto"/>
        <w:tabs>
          <w:tab w:pos="2293" w:val="left"/>
        </w:tabs>
        <w:bidi w:val="0"/>
        <w:ind w:left="0" w:firstLine="0"/>
        <w:jc w:val="left"/>
      </w:pPr>
      <w:r>
        <w:rPr>
          <w:spacing w:val="0"/>
          <w:w w:val="100"/>
          <w:position w:val="0"/>
          <w:shd w:val="clear" w:color="auto" w:fill="auto"/>
          <w:lang w:val="en-US" w:eastAsia="en-US" w:bidi="en-US"/>
        </w:rPr>
        <w:t xml:space="preserve">name, and therefore no explanation is necessary. (5) </w:t>
      </w:r>
      <w:r>
        <w:rPr>
          <w:i/>
          <w:iCs/>
          <w:spacing w:val="0"/>
          <w:w w:val="100"/>
          <w:position w:val="0"/>
          <w:shd w:val="clear" w:color="auto" w:fill="auto"/>
          <w:lang w:val="en-US" w:eastAsia="en-US" w:bidi="en-US"/>
        </w:rPr>
        <w:t>Poles.—</w:t>
      </w:r>
      <w:r>
        <w:rPr>
          <w:spacing w:val="0"/>
          <w:w w:val="100"/>
          <w:position w:val="0"/>
          <w:shd w:val="clear" w:color="auto" w:fill="auto"/>
          <w:lang w:val="en-US" w:eastAsia="en-US" w:bidi="en-US"/>
        </w:rPr>
        <w:t xml:space="preserve">The first authentic date of their history is the year 963. Perhaps they are the Bulanes of Ptolemy. See </w:t>
      </w:r>
      <w:r>
        <w:rPr>
          <w:smallCaps/>
          <w:spacing w:val="0"/>
          <w:w w:val="100"/>
          <w:position w:val="0"/>
          <w:shd w:val="clear" w:color="auto" w:fill="auto"/>
          <w:lang w:val="en-US" w:eastAsia="en-US" w:bidi="en-US"/>
        </w:rPr>
        <w:t>Poland,</w:t>
      </w:r>
      <w:r>
        <w:rPr>
          <w:spacing w:val="0"/>
          <w:w w:val="100"/>
          <w:position w:val="0"/>
          <w:shd w:val="clear" w:color="auto" w:fill="auto"/>
          <w:lang w:val="en-US" w:eastAsia="en-US" w:bidi="en-US"/>
        </w:rPr>
        <w:t xml:space="preserve"> vol. xix. p. 285.</w:t>
        <w:tab/>
        <w:t xml:space="preserve">(6) </w:t>
      </w:r>
      <w:r>
        <w:rPr>
          <w:i/>
          <w:iCs/>
          <w:spacing w:val="0"/>
          <w:w w:val="100"/>
          <w:position w:val="0"/>
          <w:shd w:val="clear" w:color="auto" w:fill="auto"/>
          <w:lang w:val="en-US" w:eastAsia="en-US" w:bidi="en-US"/>
        </w:rPr>
        <w:t>Bohemians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Chekhs.—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word “ Bohemia ”—“ home of the Boii,” a Celtic tribe —has nothing to do with the Slavs who came into the country about 495, after the </w:t>
      </w:r>
      <w:r>
        <w:rPr>
          <w:spacing w:val="0"/>
          <w:w w:val="100"/>
          <w:position w:val="0"/>
          <w:shd w:val="clear" w:color="auto" w:fill="auto"/>
          <w:lang w:val="la-001" w:eastAsia="la-001" w:bidi="la-001"/>
        </w:rPr>
        <w:t xml:space="preserve">Marcomanni, </w:t>
      </w:r>
      <w:r>
        <w:rPr>
          <w:spacing w:val="0"/>
          <w:w w:val="100"/>
          <w:position w:val="0"/>
          <w:shd w:val="clear" w:color="auto" w:fill="auto"/>
          <w:lang w:val="en-US" w:eastAsia="en-US" w:bidi="en-US"/>
        </w:rPr>
        <w:t>who had dis</w:t>
        <w:softHyphen/>
        <w:t xml:space="preserve">possessed the Boii. The derivation of the name “ Chekh ” or Czech has never been satisfactorily traced. Dobrovsky sought to connect it with a word </w:t>
      </w:r>
      <w:r>
        <w:rPr>
          <w:i/>
          <w:iCs/>
          <w:spacing w:val="0"/>
          <w:w w:val="100"/>
          <w:position w:val="0"/>
          <w:shd w:val="clear" w:color="auto" w:fill="auto"/>
          <w:lang w:val="en-US" w:eastAsia="en-US" w:bidi="en-US"/>
        </w:rPr>
        <w:t>četi,</w:t>
      </w:r>
      <w:r>
        <w:rPr>
          <w:spacing w:val="0"/>
          <w:w w:val="100"/>
          <w:position w:val="0"/>
          <w:shd w:val="clear" w:color="auto" w:fill="auto"/>
          <w:lang w:val="en-US" w:eastAsia="en-US" w:bidi="en-US"/>
        </w:rPr>
        <w:t xml:space="preserve"> signifying “to begin,” and thus makes the name imply the original inhabitants. Schafarik, however, does not endorse this etymology. Perwolf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connects it with a root </w:t>
      </w:r>
      <w:r>
        <w:rPr>
          <w:i/>
          <w:iCs/>
          <w:spacing w:val="0"/>
          <w:w w:val="100"/>
          <w:position w:val="0"/>
          <w:shd w:val="clear" w:color="auto" w:fill="auto"/>
          <w:lang w:val="en-US" w:eastAsia="en-US" w:bidi="en-US"/>
        </w:rPr>
        <w:t>čak, “</w:t>
      </w:r>
      <w:r>
        <w:rPr>
          <w:spacing w:val="0"/>
          <w:w w:val="100"/>
          <w:position w:val="0"/>
          <w:shd w:val="clear" w:color="auto" w:fill="auto"/>
          <w:lang w:val="en-US" w:eastAsia="en-US" w:bidi="en-US"/>
        </w:rPr>
        <w:t xml:space="preserve"> to beat,” and thus makes the name mean “the warriors.” Whatever the word “ Chekh ” may signify, it occurs, as Schafarik has shown, in other Slavonic countries. (7) </w:t>
      </w:r>
      <w:r>
        <w:rPr>
          <w:i/>
          <w:iCs/>
          <w:spacing w:val="0"/>
          <w:w w:val="100"/>
          <w:position w:val="0"/>
          <w:shd w:val="clear" w:color="auto" w:fill="auto"/>
          <w:lang w:val="en-US" w:eastAsia="en-US" w:bidi="en-US"/>
        </w:rPr>
        <w:t xml:space="preserve">Lusatian Wends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Sorbs.—</w:t>
      </w:r>
      <w:r>
        <w:rPr>
          <w:spacing w:val="0"/>
          <w:w w:val="100"/>
          <w:position w:val="0"/>
          <w:shd w:val="clear" w:color="auto" w:fill="auto"/>
          <w:lang w:val="en-US" w:eastAsia="en-US" w:bidi="en-US"/>
        </w:rPr>
        <w:t xml:space="preserve">The word “ Lusatia ” (German </w:t>
      </w:r>
      <w:r>
        <w:rPr>
          <w:i/>
          <w:iCs/>
          <w:spacing w:val="0"/>
          <w:w w:val="100"/>
          <w:position w:val="0"/>
          <w:shd w:val="clear" w:color="auto" w:fill="auto"/>
          <w:lang w:val="de-DE" w:eastAsia="de-DE" w:bidi="de-DE"/>
        </w:rPr>
        <w:t>Lausitz)</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de</w:t>
        <w:softHyphen/>
        <w:t xml:space="preserve">rived from the Slavonic </w:t>
      </w:r>
      <w:r>
        <w:rPr>
          <w:i/>
          <w:iCs/>
          <w:spacing w:val="0"/>
          <w:w w:val="100"/>
          <w:position w:val="0"/>
          <w:shd w:val="clear" w:color="auto" w:fill="auto"/>
          <w:lang w:val="en-US" w:eastAsia="en-US" w:bidi="en-US"/>
        </w:rPr>
        <w:t>lug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luza,</w:t>
      </w:r>
      <w:r>
        <w:rPr>
          <w:spacing w:val="0"/>
          <w:w w:val="100"/>
          <w:position w:val="0"/>
          <w:shd w:val="clear" w:color="auto" w:fill="auto"/>
          <w:lang w:val="en-US" w:eastAsia="en-US" w:bidi="en-US"/>
        </w:rPr>
        <w:t xml:space="preserve"> signifying a low, marshy country.</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Slavonic Languages and Literatures.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to attempt a classification of the Slavonic languages was Dobrovsky,@@</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who was followed by Schafarik and Schleicher. These agree in the main, except that Schafarik was so little acquainted with Bulgarian—at that time almost a lost language—that he grouped it with Servian.@@</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The following are the characteristics of the two divisions, which we take from Schafarik’s account with some trifling omissions :—</w:t>
      </w:r>
    </w:p>
    <w:tbl>
      <w:tblPr>
        <w:tblOverlap w:val="never"/>
        <w:jc w:val="left"/>
        <w:tblLayout w:type="fixed"/>
      </w:tblPr>
      <w:tblGrid>
        <w:gridCol w:w="1793"/>
        <w:gridCol w:w="2063"/>
      </w:tblGrid>
      <w:tr>
        <w:trPr>
          <w:trHeight w:val="18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smallCaps/>
                <w:color w:val="4D402C"/>
                <w:spacing w:val="0"/>
                <w:w w:val="100"/>
                <w:position w:val="0"/>
                <w:sz w:val="15"/>
                <w:szCs w:val="15"/>
                <w:shd w:val="clear" w:color="auto" w:fill="auto"/>
                <w:lang w:val="en-US" w:eastAsia="en-US" w:bidi="en-US"/>
              </w:rPr>
              <w:t>South-Eastern.</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smallCaps/>
                <w:color w:val="4D402C"/>
                <w:spacing w:val="0"/>
                <w:w w:val="100"/>
                <w:position w:val="0"/>
                <w:sz w:val="15"/>
                <w:szCs w:val="15"/>
                <w:shd w:val="clear" w:color="auto" w:fill="auto"/>
              </w:rPr>
              <w:t>Western.</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(1) </w:t>
            </w:r>
            <w:r>
              <w:rPr>
                <w:rFonts w:ascii="Cambria" w:eastAsia="Cambria" w:hAnsi="Cambria" w:cs="Cambria"/>
                <w:i/>
                <w:iCs/>
                <w:color w:val="4D402C"/>
                <w:spacing w:val="0"/>
                <w:w w:val="100"/>
                <w:position w:val="0"/>
                <w:sz w:val="15"/>
                <w:szCs w:val="15"/>
                <w:shd w:val="clear" w:color="auto" w:fill="auto"/>
              </w:rPr>
              <w:t>raz, razoum.</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roz, rozum.</w:t>
            </w:r>
          </w:p>
        </w:tc>
      </w:tr>
      <w:tr>
        <w:trPr>
          <w:trHeight w:val="16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(2) </w:t>
            </w:r>
            <w:r>
              <w:rPr>
                <w:rFonts w:ascii="Cambria" w:eastAsia="Cambria" w:hAnsi="Cambria" w:cs="Cambria"/>
                <w:i/>
                <w:iCs/>
                <w:color w:val="4D402C"/>
                <w:spacing w:val="0"/>
                <w:w w:val="100"/>
                <w:position w:val="0"/>
                <w:sz w:val="15"/>
                <w:szCs w:val="15"/>
                <w:shd w:val="clear" w:color="auto" w:fill="auto"/>
              </w:rPr>
              <w:t>iz, izdati.</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wy, wydati.</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(3) </w:t>
            </w:r>
            <w:r>
              <w:rPr>
                <w:rFonts w:ascii="Cambria" w:eastAsia="Cambria" w:hAnsi="Cambria" w:cs="Cambria"/>
                <w:i/>
                <w:iCs/>
                <w:color w:val="4D402C"/>
                <w:spacing w:val="0"/>
                <w:w w:val="100"/>
                <w:position w:val="0"/>
                <w:sz w:val="15"/>
                <w:szCs w:val="15"/>
                <w:shd w:val="clear" w:color="auto" w:fill="auto"/>
              </w:rPr>
              <w:t>korabl, zemlia.</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korab, zemia.</w:t>
            </w:r>
          </w:p>
        </w:tc>
      </w:tr>
      <w:tr>
        <w:trPr>
          <w:trHeight w:val="16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(4) </w:t>
            </w:r>
            <w:r>
              <w:rPr>
                <w:rFonts w:ascii="Cambria" w:eastAsia="Cambria" w:hAnsi="Cambria" w:cs="Cambria"/>
                <w:i/>
                <w:iCs/>
                <w:color w:val="4D402C"/>
                <w:spacing w:val="0"/>
                <w:w w:val="100"/>
                <w:position w:val="0"/>
                <w:sz w:val="15"/>
                <w:szCs w:val="15"/>
                <w:shd w:val="clear" w:color="auto" w:fill="auto"/>
              </w:rPr>
              <w:t xml:space="preserve">pravilo, </w:t>
            </w:r>
            <w:r>
              <w:rPr>
                <w:rFonts w:ascii="Cambria" w:eastAsia="Cambria" w:hAnsi="Cambria" w:cs="Cambria"/>
                <w:i/>
                <w:iCs/>
                <w:color w:val="4D402C"/>
                <w:spacing w:val="0"/>
                <w:w w:val="100"/>
                <w:position w:val="0"/>
                <w:sz w:val="15"/>
                <w:szCs w:val="15"/>
                <w:shd w:val="clear" w:color="auto" w:fill="auto"/>
                <w:lang w:val="la-001" w:eastAsia="la-001" w:bidi="la-001"/>
              </w:rPr>
              <w:t>molit</w:t>
            </w:r>
            <w:r>
              <w:rPr>
                <w:rFonts w:ascii="Cambria" w:eastAsia="Cambria" w:hAnsi="Cambria" w:cs="Cambria"/>
                <w:i/>
                <w:iCs/>
                <w:color w:val="4D402C"/>
                <w:spacing w:val="0"/>
                <w:w w:val="100"/>
                <w:position w:val="0"/>
                <w:sz w:val="15"/>
                <w:szCs w:val="15"/>
                <w:shd w:val="clear" w:color="auto" w:fill="auto"/>
              </w:rPr>
              <w:t>isa.</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prawidlo, modliti se.</w:t>
            </w:r>
          </w:p>
        </w:tc>
      </w:tr>
      <w:tr>
        <w:trPr>
          <w:trHeight w:val="14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(5) </w:t>
            </w:r>
            <w:r>
              <w:rPr>
                <w:rFonts w:ascii="Cambria" w:eastAsia="Cambria" w:hAnsi="Cambria" w:cs="Cambria"/>
                <w:i/>
                <w:iCs/>
                <w:color w:val="4D402C"/>
                <w:spacing w:val="0"/>
                <w:w w:val="100"/>
                <w:position w:val="0"/>
                <w:sz w:val="15"/>
                <w:szCs w:val="15"/>
                <w:shd w:val="clear" w:color="auto" w:fill="auto"/>
                <w:lang w:val="fr-FR" w:eastAsia="fr-FR" w:bidi="fr-FR"/>
              </w:rPr>
              <w:t>mo</w:t>
            </w:r>
            <w:r>
              <w:rPr>
                <w:rFonts w:ascii="Cambria" w:eastAsia="Cambria" w:hAnsi="Cambria" w:cs="Cambria"/>
                <w:i/>
                <w:iCs/>
                <w:color w:val="4D402C"/>
                <w:spacing w:val="0"/>
                <w:w w:val="100"/>
                <w:position w:val="0"/>
                <w:sz w:val="15"/>
                <w:szCs w:val="15"/>
                <w:shd w:val="clear" w:color="auto" w:fill="auto"/>
                <w:lang w:val="en-US" w:eastAsia="en-US" w:bidi="en-US"/>
              </w:rPr>
              <w:t>č</w:t>
            </w:r>
            <w:r>
              <w:rPr>
                <w:rFonts w:ascii="Cambria" w:eastAsia="Cambria" w:hAnsi="Cambria" w:cs="Cambria"/>
                <w:i/>
                <w:iCs/>
                <w:color w:val="4D402C"/>
                <w:spacing w:val="0"/>
                <w:w w:val="100"/>
                <w:position w:val="0"/>
                <w:sz w:val="15"/>
                <w:szCs w:val="15"/>
                <w:shd w:val="clear" w:color="auto" w:fill="auto"/>
                <w:lang w:val="fr-FR" w:eastAsia="fr-FR" w:bidi="fr-FR"/>
              </w:rPr>
              <w:t xml:space="preserve">, </w:t>
            </w:r>
            <w:r>
              <w:rPr>
                <w:rFonts w:ascii="Cambria" w:eastAsia="Cambria" w:hAnsi="Cambria" w:cs="Cambria"/>
                <w:i/>
                <w:iCs/>
                <w:color w:val="4D402C"/>
                <w:spacing w:val="0"/>
                <w:w w:val="100"/>
                <w:position w:val="0"/>
                <w:sz w:val="15"/>
                <w:szCs w:val="15"/>
                <w:shd w:val="clear" w:color="auto" w:fill="auto"/>
              </w:rPr>
              <w:t>no</w:t>
            </w:r>
            <w:r>
              <w:rPr>
                <w:rFonts w:ascii="Cambria" w:eastAsia="Cambria" w:hAnsi="Cambria" w:cs="Cambria"/>
                <w:i/>
                <w:iCs/>
                <w:color w:val="4D402C"/>
                <w:spacing w:val="0"/>
                <w:w w:val="100"/>
                <w:position w:val="0"/>
                <w:sz w:val="15"/>
                <w:szCs w:val="15"/>
                <w:shd w:val="clear" w:color="auto" w:fill="auto"/>
                <w:lang w:val="en-US" w:eastAsia="en-US" w:bidi="en-US"/>
              </w:rPr>
              <w:t>č</w:t>
            </w:r>
            <w:r>
              <w:rPr>
                <w:rFonts w:ascii="Cambria" w:eastAsia="Cambria" w:hAnsi="Cambria" w:cs="Cambria"/>
                <w:i/>
                <w:iCs/>
                <w:color w:val="4D402C"/>
                <w:spacing w:val="0"/>
                <w:w w:val="100"/>
                <w:position w:val="0"/>
                <w:sz w:val="15"/>
                <w:szCs w:val="15"/>
                <w:shd w:val="clear" w:color="auto" w:fill="auto"/>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moc, noc.</w:t>
            </w:r>
          </w:p>
        </w:tc>
      </w:tr>
      <w:tr>
        <w:trPr>
          <w:trHeight w:val="16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(6) </w:t>
            </w:r>
            <w:r>
              <w:rPr>
                <w:rFonts w:ascii="Cambria" w:eastAsia="Cambria" w:hAnsi="Cambria" w:cs="Cambria"/>
                <w:i/>
                <w:iCs/>
                <w:color w:val="4D402C"/>
                <w:spacing w:val="0"/>
                <w:w w:val="100"/>
                <w:position w:val="0"/>
                <w:sz w:val="15"/>
                <w:szCs w:val="15"/>
                <w:shd w:val="clear" w:color="auto" w:fill="auto"/>
              </w:rPr>
              <w:t>zviezda, tzvet.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hwiezd.a, gwiazda, kwiet.</w:t>
            </w:r>
          </w:p>
        </w:tc>
      </w:tr>
      <w:tr>
        <w:trPr>
          <w:trHeight w:val="16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(7) </w:t>
            </w:r>
            <w:r>
              <w:rPr>
                <w:rFonts w:ascii="Cambria" w:eastAsia="Cambria" w:hAnsi="Cambria" w:cs="Cambria"/>
                <w:i/>
                <w:iCs/>
                <w:color w:val="4D402C"/>
                <w:spacing w:val="0"/>
                <w:w w:val="100"/>
                <w:position w:val="0"/>
                <w:sz w:val="15"/>
                <w:szCs w:val="15"/>
                <w:shd w:val="clear" w:color="auto" w:fill="auto"/>
                <w:lang w:val="en-US" w:eastAsia="en-US" w:bidi="en-US"/>
              </w:rPr>
              <w:t>ago.</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rPr>
              <w:t>ego, eho.</w:t>
            </w:r>
          </w:p>
        </w:tc>
      </w:tr>
      <w:tr>
        <w:trPr>
          <w:trHeight w:val="14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(8) </w:t>
            </w:r>
            <w:r>
              <w:rPr>
                <w:rFonts w:ascii="Cambria" w:eastAsia="Cambria" w:hAnsi="Cambria" w:cs="Cambria"/>
                <w:i/>
                <w:iCs/>
                <w:color w:val="4D402C"/>
                <w:spacing w:val="0"/>
                <w:w w:val="100"/>
                <w:position w:val="0"/>
                <w:sz w:val="15"/>
                <w:szCs w:val="15"/>
                <w:shd w:val="clear" w:color="auto" w:fill="auto"/>
              </w:rPr>
              <w:t>omou, toj.</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Cambria" w:eastAsia="Cambria" w:hAnsi="Cambria" w:cs="Cambria"/>
                <w:i/>
                <w:iCs/>
                <w:color w:val="4D402C"/>
                <w:spacing w:val="0"/>
                <w:w w:val="100"/>
                <w:position w:val="0"/>
                <w:sz w:val="15"/>
                <w:szCs w:val="15"/>
                <w:shd w:val="clear" w:color="auto" w:fill="auto"/>
                <w:lang w:val="en-US" w:eastAsia="en-US" w:bidi="en-US"/>
              </w:rPr>
              <w:t>emu, ten.</w:t>
            </w:r>
          </w:p>
        </w:tc>
      </w:tr>
    </w:tbl>
    <w:p>
      <w:pPr>
        <w:pStyle w:val="Style1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This division, however, has been repeatedly challenged. Schleicher insisted upon the two following as important principles: (1) primi</w:t>
        <w:softHyphen/>
        <w:t xml:space="preserve">tive Slavonic </w:t>
      </w:r>
      <w:r>
        <w:rPr>
          <w:i/>
          <w:iCs/>
          <w:spacing w:val="0"/>
          <w:w w:val="100"/>
          <w:position w:val="0"/>
          <w:shd w:val="clear" w:color="auto" w:fill="auto"/>
          <w:lang w:val="en-US" w:eastAsia="en-US" w:bidi="en-US"/>
        </w:rPr>
        <w:t>dj</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tj</w:t>
      </w:r>
      <w:r>
        <w:rPr>
          <w:spacing w:val="0"/>
          <w:w w:val="100"/>
          <w:position w:val="0"/>
          <w:shd w:val="clear" w:color="auto" w:fill="auto"/>
          <w:lang w:val="en-US" w:eastAsia="en-US" w:bidi="en-US"/>
        </w:rPr>
        <w:t xml:space="preserve"> become in all west Slavonic dialects </w:t>
      </w:r>
      <w:r>
        <w:rPr>
          <w:i/>
          <w:iCs/>
          <w:spacing w:val="0"/>
          <w:w w:val="100"/>
          <w:position w:val="0"/>
          <w:shd w:val="clear" w:color="auto" w:fill="auto"/>
          <w:lang w:val="en-US" w:eastAsia="en-US" w:bidi="en-US"/>
        </w:rPr>
        <w:t>dz</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among the Chekhs and Sorbs dz becomes at a later period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 (2)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are preserved in the western dialects, but disappear in the south-eastern. Upon this last canon Johannes Schmidt@@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remarks as follows: “ The dentals are preserved in Slovenish, certainly in the western part of its area ; thus </w:t>
      </w:r>
      <w:r>
        <w:rPr>
          <w:i/>
          <w:iCs/>
          <w:spacing w:val="0"/>
          <w:w w:val="100"/>
          <w:position w:val="0"/>
          <w:shd w:val="clear" w:color="auto" w:fill="auto"/>
          <w:lang w:val="en-US" w:eastAsia="en-US" w:bidi="en-US"/>
        </w:rPr>
        <w:t>modlim</w:t>
      </w:r>
      <w:r>
        <w:rPr>
          <w:spacing w:val="0"/>
          <w:w w:val="100"/>
          <w:position w:val="0"/>
          <w:shd w:val="clear" w:color="auto" w:fill="auto"/>
          <w:lang w:val="en-US" w:eastAsia="en-US" w:bidi="en-US"/>
        </w:rPr>
        <w:t xml:space="preserve"> in the Freisingian documents, in the perfect participles, as </w:t>
      </w:r>
      <w:r>
        <w:rPr>
          <w:i/>
          <w:iCs/>
          <w:spacing w:val="0"/>
          <w:w w:val="100"/>
          <w:position w:val="0"/>
          <w:shd w:val="clear" w:color="auto" w:fill="auto"/>
          <w:lang w:val="en-US" w:eastAsia="en-US" w:bidi="en-US"/>
        </w:rPr>
        <w:t>predel, bodel, pletel, cretel,</w:t>
      </w:r>
      <w:r>
        <w:rPr>
          <w:spacing w:val="0"/>
          <w:w w:val="100"/>
          <w:position w:val="0"/>
          <w:shd w:val="clear" w:color="auto" w:fill="auto"/>
          <w:lang w:val="en-US" w:eastAsia="en-US" w:bidi="en-US"/>
        </w:rPr>
        <w:t xml:space="preserve"> fem. </w:t>
      </w:r>
      <w:r>
        <w:rPr>
          <w:i/>
          <w:iCs/>
          <w:spacing w:val="0"/>
          <w:w w:val="100"/>
          <w:position w:val="0"/>
          <w:shd w:val="clear" w:color="auto" w:fill="auto"/>
          <w:lang w:val="en-US" w:eastAsia="en-US" w:bidi="en-US"/>
        </w:rPr>
        <w:t>dla, tla</w:t>
      </w:r>
      <w:r>
        <w:rPr>
          <w:spacing w:val="0"/>
          <w:w w:val="100"/>
          <w:position w:val="0"/>
          <w:shd w:val="clear" w:color="auto" w:fill="auto"/>
          <w:lang w:val="en-US" w:eastAsia="en-US" w:bidi="en-US"/>
        </w:rPr>
        <w:t xml:space="preserve">, and in the suffix </w:t>
      </w:r>
      <w:r>
        <w:rPr>
          <w:i/>
          <w:iCs/>
          <w:spacing w:val="0"/>
          <w:w w:val="100"/>
          <w:position w:val="0"/>
          <w:shd w:val="clear" w:color="auto" w:fill="auto"/>
          <w:lang w:val="en-US" w:eastAsia="en-US" w:bidi="en-US"/>
        </w:rPr>
        <w:t>dlo</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kresadlo, motovidlo, šidlo</w:t>
      </w:r>
      <w:r>
        <w:rPr>
          <w:spacing w:val="0"/>
          <w:w w:val="100"/>
          <w:position w:val="0"/>
          <w:shd w:val="clear" w:color="auto" w:fill="auto"/>
          <w:lang w:val="en-US" w:eastAsia="en-US" w:bidi="en-US"/>
        </w:rPr>
        <w:t xml:space="preserve">. D is also preserved in Slovenish before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omladnem, osladnem, zbodnem, padnem, kradnem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on the other hand, appears every</w:t>
        <w:softHyphen/>
        <w:t xml:space="preserve">where to vanish before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obernem</w:t>
      </w:r>
      <w:r>
        <w:rPr>
          <w:spacing w:val="0"/>
          <w:w w:val="100"/>
          <w:position w:val="0"/>
          <w:shd w:val="clear" w:color="auto" w:fill="auto"/>
          <w:lang w:val="en-US" w:eastAsia="en-US" w:bidi="en-US"/>
        </w:rPr>
        <w:t xml:space="preserve">, ‘I go round.’” He also criticizes two of the principles of difference given by Schafarik. The </w:t>
      </w:r>
      <w:r>
        <w:rPr>
          <w:spacing w:val="0"/>
          <w:w w:val="100"/>
          <w:position w:val="0"/>
          <w:shd w:val="clear" w:color="auto" w:fill="auto"/>
          <w:lang w:val="fr-FR" w:eastAsia="fr-FR" w:bidi="fr-FR"/>
        </w:rPr>
        <w:t xml:space="preserve">nom. </w:t>
      </w:r>
      <w:r>
        <w:rPr>
          <w:spacing w:val="0"/>
          <w:w w:val="100"/>
          <w:position w:val="0"/>
          <w:shd w:val="clear" w:color="auto" w:fill="auto"/>
          <w:lang w:val="en-US" w:eastAsia="en-US" w:bidi="en-US"/>
        </w:rPr>
        <w:t xml:space="preserve">sing. masc. of pronouns appears in western Slavonic to be increased by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thus Chekh, Polish, Lower Sorb, </w:t>
      </w:r>
      <w:r>
        <w:rPr>
          <w:i/>
          <w:iCs/>
          <w:spacing w:val="0"/>
          <w:w w:val="100"/>
          <w:position w:val="0"/>
          <w:shd w:val="clear" w:color="auto" w:fill="auto"/>
          <w:lang w:val="en-US" w:eastAsia="en-US" w:bidi="en-US"/>
        </w:rPr>
        <w:t>ten</w:t>
      </w:r>
      <w:r>
        <w:rPr>
          <w:spacing w:val="0"/>
          <w:w w:val="100"/>
          <w:position w:val="0"/>
          <w:shd w:val="clear" w:color="auto" w:fill="auto"/>
          <w:lang w:val="en-US" w:eastAsia="en-US" w:bidi="en-US"/>
        </w:rPr>
        <w:t xml:space="preserve"> ; Upper Sorbish, </w:t>
      </w:r>
      <w:r>
        <w:rPr>
          <w:i/>
          <w:iCs/>
          <w:spacing w:val="0"/>
          <w:w w:val="100"/>
          <w:position w:val="0"/>
          <w:shd w:val="clear" w:color="auto" w:fill="auto"/>
          <w:lang w:val="en-US" w:eastAsia="en-US" w:bidi="en-US"/>
        </w:rPr>
        <w:t>ton</w:t>
      </w:r>
      <w:r>
        <w:rPr>
          <w:spacing w:val="0"/>
          <w:w w:val="100"/>
          <w:position w:val="0"/>
          <w:shd w:val="clear" w:color="auto" w:fill="auto"/>
          <w:lang w:val="en-US" w:eastAsia="en-US" w:bidi="en-US"/>
        </w:rPr>
        <w:t xml:space="preserve"> ; Polabish, </w:t>
      </w:r>
      <w:r>
        <w:rPr>
          <w:i/>
          <w:iCs/>
          <w:spacing w:val="0"/>
          <w:w w:val="100"/>
          <w:position w:val="0"/>
          <w:shd w:val="clear" w:color="auto" w:fill="auto"/>
          <w:lang w:val="en-US" w:eastAsia="en-US" w:bidi="en-US"/>
        </w:rPr>
        <w:t>to</w:t>
      </w:r>
      <w:r>
        <w:rPr>
          <w:spacing w:val="0"/>
          <w:w w:val="100"/>
          <w:position w:val="0"/>
          <w:shd w:val="clear" w:color="auto" w:fill="auto"/>
          <w:lang w:val="en-US" w:eastAsia="en-US" w:bidi="en-US"/>
        </w:rPr>
        <w:t xml:space="preserve"> ; this, however, occurs in the Freisingian monu</w:t>
        <w:softHyphen/>
        <w:t xml:space="preserve">ments, the earliest form of Slovenish, as ton. This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belongs to the stem, and is not a particle which has become fused with it ; </w:t>
      </w:r>
      <w:r>
        <w:rPr>
          <w:i/>
          <w:iCs/>
          <w:spacing w:val="0"/>
          <w:w w:val="100"/>
          <w:position w:val="0"/>
          <w:shd w:val="clear" w:color="auto" w:fill="auto"/>
          <w:lang w:val="en-US" w:eastAsia="en-US" w:bidi="en-US"/>
        </w:rPr>
        <w:t>ten, ton</w:t>
      </w:r>
      <w:r>
        <w:rPr>
          <w:spacing w:val="0"/>
          <w:w w:val="100"/>
          <w:position w:val="0"/>
          <w:shd w:val="clear" w:color="auto" w:fill="auto"/>
          <w:lang w:val="en-US" w:eastAsia="en-US" w:bidi="en-US"/>
        </w:rPr>
        <w:t xml:space="preserve">, original form </w:t>
      </w:r>
      <w:r>
        <w:rPr>
          <w:i/>
          <w:iCs/>
          <w:spacing w:val="0"/>
          <w:w w:val="100"/>
          <w:position w:val="0"/>
          <w:shd w:val="clear" w:color="auto" w:fill="auto"/>
          <w:lang w:val="en-US" w:eastAsia="en-US" w:bidi="en-US"/>
        </w:rPr>
        <w:t>t'n</w:t>
      </w:r>
      <w:r>
        <w:rPr>
          <w:spacing w:val="0"/>
          <w:w w:val="100"/>
          <w:position w:val="0"/>
          <w:shd w:val="clear" w:color="auto" w:fill="auto"/>
          <w:lang w:val="en-US" w:eastAsia="en-US" w:bidi="en-US"/>
        </w:rPr>
        <w:t xml:space="preserve">, correspond to the Old Prussian </w:t>
      </w:r>
      <w:r>
        <w:rPr>
          <w:i/>
          <w:iCs/>
          <w:spacing w:val="0"/>
          <w:w w:val="100"/>
          <w:position w:val="0"/>
          <w:shd w:val="clear" w:color="auto" w:fill="auto"/>
          <w:lang w:val="en-US" w:eastAsia="en-US" w:bidi="en-US"/>
        </w:rPr>
        <w:t>tans</w:t>
      </w:r>
      <w:r>
        <w:rPr>
          <w:spacing w:val="0"/>
          <w:w w:val="100"/>
          <w:position w:val="0"/>
          <w:shd w:val="clear" w:color="auto" w:fill="auto"/>
          <w:lang w:val="en-US" w:eastAsia="en-US" w:bidi="en-US"/>
        </w:rPr>
        <w:t xml:space="preserve">. The use of the preposition </w:t>
      </w:r>
      <w:r>
        <w:rPr>
          <w:i/>
          <w:iCs/>
          <w:spacing w:val="0"/>
          <w:w w:val="100"/>
          <w:position w:val="0"/>
          <w:shd w:val="clear" w:color="auto" w:fill="auto"/>
          <w:lang w:val="en-US" w:eastAsia="en-US" w:bidi="en-US"/>
        </w:rPr>
        <w:t>vi</w:t>
      </w:r>
      <w:r>
        <w:rPr>
          <w:spacing w:val="0"/>
          <w:w w:val="100"/>
          <w:position w:val="0"/>
          <w:shd w:val="clear" w:color="auto" w:fill="auto"/>
          <w:lang w:val="en-US" w:eastAsia="en-US" w:bidi="en-US"/>
        </w:rPr>
        <w:t xml:space="preserve"> instead of </w:t>
      </w:r>
      <w:r>
        <w:rPr>
          <w:i/>
          <w:iCs/>
          <w:spacing w:val="0"/>
          <w:w w:val="100"/>
          <w:position w:val="0"/>
          <w:shd w:val="clear" w:color="auto" w:fill="auto"/>
          <w:lang w:val="en-US" w:eastAsia="en-US" w:bidi="en-US"/>
        </w:rPr>
        <w:t>iz</w:t>
      </w:r>
      <w:r>
        <w:rPr>
          <w:spacing w:val="0"/>
          <w:w w:val="100"/>
          <w:position w:val="0"/>
          <w:shd w:val="clear" w:color="auto" w:fill="auto"/>
          <w:lang w:val="en-US" w:eastAsia="en-US" w:bidi="en-US"/>
        </w:rPr>
        <w:t xml:space="preserve"> is not a criterion ; </w:t>
      </w:r>
      <w:r>
        <w:rPr>
          <w:i/>
          <w:iCs/>
          <w:spacing w:val="0"/>
          <w:w w:val="100"/>
          <w:position w:val="0"/>
          <w:shd w:val="clear" w:color="auto" w:fill="auto"/>
          <w:lang w:val="fr-FR" w:eastAsia="fr-FR" w:bidi="fr-FR"/>
        </w:rPr>
        <w:t>vî</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as much used in Russian as in west Slavonic, thus </w:t>
      </w:r>
      <w:r>
        <w:rPr>
          <w:i/>
          <w:iCs/>
          <w:spacing w:val="0"/>
          <w:w w:val="100"/>
          <w:position w:val="0"/>
          <w:shd w:val="clear" w:color="auto" w:fill="auto"/>
          <w:lang w:val="en-US" w:eastAsia="en-US" w:bidi="en-US"/>
        </w:rPr>
        <w:t>v</w:t>
      </w:r>
      <w:r>
        <w:rPr>
          <w:i/>
          <w:iCs/>
          <w:spacing w:val="0"/>
          <w:w w:val="100"/>
          <w:position w:val="0"/>
          <w:shd w:val="clear" w:color="auto" w:fill="auto"/>
          <w:lang w:val="fr-FR" w:eastAsia="fr-FR" w:bidi="fr-FR"/>
        </w:rPr>
        <w:t>î</w:t>
      </w:r>
      <w:r>
        <w:rPr>
          <w:i/>
          <w:iCs/>
          <w:spacing w:val="0"/>
          <w:w w:val="100"/>
          <w:position w:val="0"/>
          <w:shd w:val="clear" w:color="auto" w:fill="auto"/>
          <w:lang w:val="en-US" w:eastAsia="en-US" w:bidi="en-US"/>
        </w:rPr>
        <w:t>borni</w:t>
      </w:r>
      <w:r>
        <w:rPr>
          <w:spacing w:val="0"/>
          <w:w w:val="100"/>
          <w:position w:val="0"/>
          <w:shd w:val="clear" w:color="auto" w:fill="auto"/>
          <w:lang w:val="en-US" w:eastAsia="en-US" w:bidi="en-US"/>
        </w:rPr>
        <w:t>, “ the</w:t>
      </w:r>
    </w:p>
    <w:p>
      <w:pPr>
        <w:pStyle w:val="Style12"/>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Die </w:t>
      </w:r>
      <w:r>
        <w:rPr>
          <w:i/>
          <w:iCs/>
          <w:spacing w:val="0"/>
          <w:w w:val="100"/>
          <w:position w:val="0"/>
          <w:shd w:val="clear" w:color="auto" w:fill="auto"/>
          <w:lang w:val="de-DE" w:eastAsia="de-DE" w:bidi="de-DE"/>
        </w:rPr>
        <w:t xml:space="preserve">Herkunft der Deutschen </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Neue Forschungen über Urgeschichte, Abstammung, und Verwandtschaftsverhältnisse unseres Volkes,</w:t>
      </w:r>
      <w:r>
        <w:rPr>
          <w:rFonts w:ascii="Times New Roman" w:eastAsia="Times New Roman" w:hAnsi="Times New Roman" w:cs="Times New Roman"/>
          <w:spacing w:val="0"/>
          <w:w w:val="100"/>
          <w:position w:val="0"/>
          <w:shd w:val="clear" w:color="auto" w:fill="auto"/>
          <w:lang w:val="de-DE" w:eastAsia="de-DE" w:bidi="de-DE"/>
        </w:rPr>
        <w:t xml:space="preserve"> Carlsruhe, </w:t>
      </w:r>
      <w:r>
        <w:rPr>
          <w:rFonts w:ascii="Times New Roman" w:eastAsia="Times New Roman" w:hAnsi="Times New Roman" w:cs="Times New Roman"/>
          <w:spacing w:val="0"/>
          <w:w w:val="100"/>
          <w:position w:val="0"/>
          <w:shd w:val="clear" w:color="auto" w:fill="auto"/>
          <w:lang w:val="en-US" w:eastAsia="en-US" w:bidi="en-US"/>
        </w:rPr>
        <w:t>1885.</w:t>
      </w:r>
    </w:p>
    <w:p>
      <w:pPr>
        <w:pStyle w:val="Style16"/>
        <w:keepNext w:val="0"/>
        <w:keepLines w:val="0"/>
        <w:widowControl w:val="0"/>
        <w:shd w:val="clear" w:color="auto" w:fill="auto"/>
        <w:bidi w:val="0"/>
        <w:spacing w:line="211"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See </w:t>
      </w:r>
      <w:r>
        <w:rPr>
          <w:color w:val="4D402C"/>
          <w:spacing w:val="0"/>
          <w:w w:val="100"/>
          <w:position w:val="0"/>
          <w:sz w:val="15"/>
          <w:szCs w:val="15"/>
          <w:shd w:val="clear" w:color="auto" w:fill="auto"/>
          <w:lang w:val="de-DE" w:eastAsia="de-DE" w:bidi="de-DE"/>
        </w:rPr>
        <w:t xml:space="preserve">an </w:t>
      </w:r>
      <w:r>
        <w:rPr>
          <w:color w:val="4D402C"/>
          <w:spacing w:val="0"/>
          <w:w w:val="100"/>
          <w:position w:val="0"/>
          <w:sz w:val="15"/>
          <w:szCs w:val="15"/>
          <w:shd w:val="clear" w:color="auto" w:fill="auto"/>
          <w:lang w:val="en-US" w:eastAsia="en-US" w:bidi="en-US"/>
        </w:rPr>
        <w:t xml:space="preserve">interesting article </w:t>
      </w:r>
      <w:r>
        <w:rPr>
          <w:color w:val="4D402C"/>
          <w:spacing w:val="0"/>
          <w:w w:val="100"/>
          <w:position w:val="0"/>
          <w:sz w:val="15"/>
          <w:szCs w:val="15"/>
          <w:shd w:val="clear" w:color="auto" w:fill="auto"/>
          <w:lang w:val="de-DE" w:eastAsia="de-DE" w:bidi="de-DE"/>
        </w:rPr>
        <w:t xml:space="preserve">in </w:t>
      </w:r>
      <w:r>
        <w:rPr>
          <w:color w:val="4D402C"/>
          <w:spacing w:val="0"/>
          <w:w w:val="100"/>
          <w:position w:val="0"/>
          <w:sz w:val="15"/>
          <w:szCs w:val="15"/>
          <w:shd w:val="clear" w:color="auto" w:fill="auto"/>
          <w:lang w:val="en-US" w:eastAsia="en-US" w:bidi="en-US"/>
        </w:rPr>
        <w:t xml:space="preserve">the </w:t>
      </w:r>
      <w:r>
        <w:rPr>
          <w:color w:val="4D402C"/>
          <w:spacing w:val="0"/>
          <w:w w:val="100"/>
          <w:position w:val="0"/>
          <w:sz w:val="15"/>
          <w:szCs w:val="15"/>
          <w:shd w:val="clear" w:color="auto" w:fill="auto"/>
          <w:lang w:val="de-DE" w:eastAsia="de-DE" w:bidi="de-DE"/>
        </w:rPr>
        <w:t xml:space="preserve">American </w:t>
      </w:r>
      <w:r>
        <w:rPr>
          <w:i/>
          <w:iCs/>
          <w:color w:val="4D402C"/>
          <w:spacing w:val="0"/>
          <w:w w:val="100"/>
          <w:position w:val="0"/>
          <w:sz w:val="15"/>
          <w:szCs w:val="15"/>
          <w:shd w:val="clear" w:color="auto" w:fill="auto"/>
          <w:lang w:val="de-DE" w:eastAsia="de-DE" w:bidi="de-DE"/>
        </w:rPr>
        <w:t>N</w:t>
      </w:r>
      <w:r>
        <w:rPr>
          <w:rFonts w:ascii="Cambria" w:eastAsia="Cambria" w:hAnsi="Cambria" w:cs="Cambria"/>
          <w:i/>
          <w:iCs/>
          <w:color w:val="4D402C"/>
          <w:spacing w:val="0"/>
          <w:w w:val="100"/>
          <w:position w:val="0"/>
          <w:sz w:val="15"/>
          <w:szCs w:val="15"/>
          <w:shd w:val="clear" w:color="auto" w:fill="auto"/>
          <w:lang w:val="de-DE" w:eastAsia="de-DE" w:bidi="de-DE"/>
        </w:rPr>
        <w:t>ation</w:t>
      </w:r>
      <w:r>
        <w:rPr>
          <w:color w:val="4D402C"/>
          <w:spacing w:val="0"/>
          <w:w w:val="100"/>
          <w:position w:val="0"/>
          <w:sz w:val="15"/>
          <w:szCs w:val="15"/>
          <w:shd w:val="clear" w:color="auto" w:fill="auto"/>
          <w:lang w:val="de-DE" w:eastAsia="de-DE" w:bidi="de-DE"/>
        </w:rPr>
        <w:t xml:space="preserve"> </w:t>
      </w:r>
      <w:r>
        <w:rPr>
          <w:color w:val="4D402C"/>
          <w:spacing w:val="0"/>
          <w:w w:val="100"/>
          <w:position w:val="0"/>
          <w:sz w:val="15"/>
          <w:szCs w:val="15"/>
          <w:shd w:val="clear" w:color="auto" w:fill="auto"/>
          <w:lang w:val="en-US" w:eastAsia="en-US" w:bidi="en-US"/>
        </w:rPr>
        <w:t xml:space="preserve">(3d December 1885), where it is shown that the first person to advocate this theory, which seems to be gaining ground among scholars, was Dr Latham, in his edition of the </w:t>
      </w:r>
      <w:r>
        <w:rPr>
          <w:rFonts w:ascii="Cambria" w:eastAsia="Cambria" w:hAnsi="Cambria" w:cs="Cambria"/>
          <w:i/>
          <w:iCs/>
          <w:color w:val="4D402C"/>
          <w:spacing w:val="0"/>
          <w:w w:val="100"/>
          <w:position w:val="0"/>
          <w:sz w:val="15"/>
          <w:szCs w:val="15"/>
          <w:shd w:val="clear" w:color="auto" w:fill="auto"/>
          <w:lang w:val="en-US" w:eastAsia="en-US" w:bidi="en-US"/>
        </w:rPr>
        <w:t>Germania</w:t>
      </w:r>
      <w:r>
        <w:rPr>
          <w:color w:val="4D402C"/>
          <w:spacing w:val="0"/>
          <w:w w:val="100"/>
          <w:position w:val="0"/>
          <w:sz w:val="15"/>
          <w:szCs w:val="15"/>
          <w:shd w:val="clear" w:color="auto" w:fill="auto"/>
          <w:lang w:val="en-US" w:eastAsia="en-US" w:bidi="en-US"/>
        </w:rPr>
        <w:t xml:space="preserve"> of Tacitus. This view was supported by Theodor Benfey in 1868.</w:t>
      </w:r>
    </w:p>
    <w:p>
      <w:pPr>
        <w:pStyle w:val="Style16"/>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See Drinoff's “Settlement of the Balkan Peninsula by the Slavs” </w:t>
      </w:r>
      <w:r>
        <w:rPr>
          <w:rFonts w:ascii="Cambria" w:eastAsia="Cambria" w:hAnsi="Cambria" w:cs="Cambria"/>
          <w:i/>
          <w:iCs/>
          <w:color w:val="4D402C"/>
          <w:spacing w:val="0"/>
          <w:w w:val="100"/>
          <w:position w:val="0"/>
          <w:sz w:val="15"/>
          <w:szCs w:val="15"/>
          <w:shd w:val="clear" w:color="auto" w:fill="auto"/>
          <w:lang w:val="en-US" w:eastAsia="en-US" w:bidi="en-US"/>
        </w:rPr>
        <w:t>(Zaselenie Balkanskago Poluostrova Slavyanami),</w:t>
      </w:r>
      <w:r>
        <w:rPr>
          <w:color w:val="4D402C"/>
          <w:spacing w:val="0"/>
          <w:w w:val="100"/>
          <w:position w:val="0"/>
          <w:sz w:val="15"/>
          <w:szCs w:val="15"/>
          <w:shd w:val="clear" w:color="auto" w:fill="auto"/>
          <w:lang w:val="en-US" w:eastAsia="en-US" w:bidi="en-US"/>
        </w:rPr>
        <w:t xml:space="preserve"> Moscow, 1873.</w:t>
      </w:r>
    </w:p>
    <w:p>
      <w:pPr>
        <w:pStyle w:val="Style12"/>
        <w:keepNext w:val="0"/>
        <w:keepLines w:val="0"/>
        <w:widowControl w:val="0"/>
        <w:shd w:val="clear" w:color="auto" w:fill="auto"/>
        <w:bidi w:val="0"/>
        <w:spacing w:line="214"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Arch. f. slaw. Phil.,</w:t>
      </w:r>
      <w:r>
        <w:rPr>
          <w:rFonts w:ascii="Times New Roman" w:eastAsia="Times New Roman" w:hAnsi="Times New Roman" w:cs="Times New Roman"/>
          <w:spacing w:val="0"/>
          <w:w w:val="100"/>
          <w:position w:val="0"/>
          <w:shd w:val="clear" w:color="auto" w:fill="auto"/>
          <w:lang w:val="en-US" w:eastAsia="en-US" w:bidi="en-US"/>
        </w:rPr>
        <w:t xml:space="preserve"> vii. 622.</w:t>
      </w:r>
    </w:p>
    <w:p>
      <w:pPr>
        <w:pStyle w:val="Style12"/>
        <w:keepNext w:val="0"/>
        <w:keepLines w:val="0"/>
        <w:widowControl w:val="0"/>
        <w:shd w:val="clear" w:color="auto" w:fill="auto"/>
        <w:bidi w:val="0"/>
        <w:spacing w:line="214" w:lineRule="auto"/>
        <w:ind w:left="0" w:firstLine="360"/>
        <w:jc w:val="left"/>
      </w:pPr>
      <w:r>
        <w:rPr>
          <w:i/>
          <w:iCs/>
          <w:spacing w:val="0"/>
          <w:w w:val="100"/>
          <w:position w:val="0"/>
          <w:shd w:val="clear" w:color="auto" w:fill="auto"/>
          <w:vertAlign w:val="superscript"/>
          <w:lang w:val="en-US" w:eastAsia="en-US" w:bidi="en-US"/>
        </w:rPr>
        <w:t>@@@5</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Institutiones </w:t>
      </w:r>
      <w:r>
        <w:rPr>
          <w:i/>
          <w:iCs/>
          <w:spacing w:val="0"/>
          <w:w w:val="100"/>
          <w:position w:val="0"/>
          <w:shd w:val="clear" w:color="auto" w:fill="auto"/>
          <w:lang w:val="en-US" w:eastAsia="en-US" w:bidi="en-US"/>
        </w:rPr>
        <w:t>Linguae Slavic</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Veteris Dialecti,</w:t>
      </w:r>
      <w:r>
        <w:rPr>
          <w:rFonts w:ascii="Times New Roman" w:eastAsia="Times New Roman" w:hAnsi="Times New Roman" w:cs="Times New Roman"/>
          <w:spacing w:val="0"/>
          <w:w w:val="100"/>
          <w:position w:val="0"/>
          <w:shd w:val="clear" w:color="auto" w:fill="auto"/>
          <w:lang w:val="la-001" w:eastAsia="la-001" w:bidi="la-001"/>
        </w:rPr>
        <w:t xml:space="preserve"> </w:t>
      </w:r>
      <w:r>
        <w:rPr>
          <w:rFonts w:ascii="Times New Roman" w:eastAsia="Times New Roman" w:hAnsi="Times New Roman" w:cs="Times New Roman"/>
          <w:spacing w:val="0"/>
          <w:w w:val="100"/>
          <w:position w:val="0"/>
          <w:shd w:val="clear" w:color="auto" w:fill="auto"/>
          <w:lang w:val="en-US" w:eastAsia="en-US" w:bidi="en-US"/>
        </w:rPr>
        <w:t>Vienna, 1822.</w:t>
      </w:r>
    </w:p>
    <w:p>
      <w:pPr>
        <w:pStyle w:val="Style12"/>
        <w:keepNext w:val="0"/>
        <w:keepLines w:val="0"/>
        <w:widowControl w:val="0"/>
        <w:shd w:val="clear" w:color="auto" w:fill="auto"/>
        <w:bidi w:val="0"/>
        <w:spacing w:line="214"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Geschichte der slawischen Sprache und Literatur nach allen</w:t>
      </w:r>
    </w:p>
    <w:p>
      <w:pPr>
        <w:pStyle w:val="Style16"/>
        <w:keepNext w:val="0"/>
        <w:keepLines w:val="0"/>
        <w:widowControl w:val="0"/>
        <w:shd w:val="clear" w:color="auto" w:fill="auto"/>
        <w:bidi w:val="0"/>
        <w:spacing w:line="214" w:lineRule="auto"/>
        <w:ind w:left="0" w:firstLine="0"/>
        <w:jc w:val="left"/>
        <w:rPr>
          <w:sz w:val="15"/>
          <w:szCs w:val="15"/>
        </w:rPr>
      </w:pPr>
      <w:r>
        <w:rPr>
          <w:rFonts w:ascii="Cambria" w:eastAsia="Cambria" w:hAnsi="Cambria" w:cs="Cambria"/>
          <w:i/>
          <w:iCs/>
          <w:color w:val="4D402C"/>
          <w:spacing w:val="0"/>
          <w:w w:val="100"/>
          <w:position w:val="0"/>
          <w:sz w:val="15"/>
          <w:szCs w:val="15"/>
          <w:shd w:val="clear" w:color="auto" w:fill="auto"/>
          <w:lang w:val="de-DE" w:eastAsia="de-DE" w:bidi="de-DE"/>
        </w:rPr>
        <w:t>Mundarten,</w:t>
      </w:r>
      <w:r>
        <w:rPr>
          <w:color w:val="4D402C"/>
          <w:spacing w:val="0"/>
          <w:w w:val="100"/>
          <w:position w:val="0"/>
          <w:sz w:val="15"/>
          <w:szCs w:val="15"/>
          <w:shd w:val="clear" w:color="auto" w:fill="auto"/>
          <w:lang w:val="de-DE" w:eastAsia="de-DE" w:bidi="de-DE"/>
        </w:rPr>
        <w:t xml:space="preserve"> Pesth, </w:t>
      </w:r>
      <w:r>
        <w:rPr>
          <w:color w:val="4D402C"/>
          <w:spacing w:val="0"/>
          <w:w w:val="100"/>
          <w:position w:val="0"/>
          <w:sz w:val="15"/>
          <w:szCs w:val="15"/>
          <w:shd w:val="clear" w:color="auto" w:fill="auto"/>
          <w:lang w:val="en-US" w:eastAsia="en-US" w:bidi="en-US"/>
        </w:rPr>
        <w:t xml:space="preserve">1826, </w:t>
      </w:r>
      <w:r>
        <w:rPr>
          <w:color w:val="4D402C"/>
          <w:spacing w:val="0"/>
          <w:w w:val="100"/>
          <w:position w:val="0"/>
          <w:sz w:val="15"/>
          <w:szCs w:val="15"/>
          <w:shd w:val="clear" w:color="auto" w:fill="auto"/>
          <w:lang w:val="de-DE" w:eastAsia="de-DE" w:bidi="de-DE"/>
        </w:rPr>
        <w:t xml:space="preserve">p. </w:t>
      </w:r>
      <w:r>
        <w:rPr>
          <w:color w:val="4D402C"/>
          <w:spacing w:val="0"/>
          <w:w w:val="100"/>
          <w:position w:val="0"/>
          <w:sz w:val="15"/>
          <w:szCs w:val="15"/>
          <w:shd w:val="clear" w:color="auto" w:fill="auto"/>
          <w:lang w:val="en-US" w:eastAsia="en-US" w:bidi="en-US"/>
        </w:rPr>
        <w:t>32.</w:t>
      </w:r>
    </w:p>
    <w:p>
      <w:pPr>
        <w:pStyle w:val="Style12"/>
        <w:keepNext w:val="0"/>
        <w:keepLines w:val="0"/>
        <w:widowControl w:val="0"/>
        <w:shd w:val="clear" w:color="auto" w:fill="auto"/>
        <w:bidi w:val="0"/>
        <w:spacing w:line="216"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Zur Geschichte des Indo-Germanischen Vocalismus,</w:t>
      </w:r>
      <w:r>
        <w:rPr>
          <w:rFonts w:ascii="Times New Roman" w:eastAsia="Times New Roman" w:hAnsi="Times New Roman" w:cs="Times New Roman"/>
          <w:spacing w:val="0"/>
          <w:w w:val="100"/>
          <w:position w:val="0"/>
          <w:shd w:val="clear" w:color="auto" w:fill="auto"/>
          <w:lang w:val="de-DE" w:eastAsia="de-DE" w:bidi="de-DE"/>
        </w:rPr>
        <w:t xml:space="preserve"> </w:t>
      </w:r>
      <w:r>
        <w:rPr>
          <w:rFonts w:ascii="Times New Roman" w:eastAsia="Times New Roman" w:hAnsi="Times New Roman" w:cs="Times New Roman"/>
          <w:spacing w:val="0"/>
          <w:w w:val="100"/>
          <w:position w:val="0"/>
          <w:shd w:val="clear" w:color="auto" w:fill="auto"/>
          <w:lang w:val="en-US" w:eastAsia="en-US" w:bidi="en-US"/>
        </w:rPr>
        <w:t xml:space="preserve">part </w:t>
      </w:r>
      <w:r>
        <w:rPr>
          <w:rFonts w:ascii="Times New Roman" w:eastAsia="Times New Roman" w:hAnsi="Times New Roman" w:cs="Times New Roman"/>
          <w:spacing w:val="0"/>
          <w:w w:val="100"/>
          <w:position w:val="0"/>
          <w:shd w:val="clear" w:color="auto" w:fill="auto"/>
          <w:lang w:val="de-DE" w:eastAsia="de-DE" w:bidi="de-DE"/>
        </w:rPr>
        <w:t xml:space="preserve">ii. p. </w:t>
      </w:r>
      <w:r>
        <w:rPr>
          <w:rFonts w:ascii="Times New Roman" w:eastAsia="Times New Roman" w:hAnsi="Times New Roman" w:cs="Times New Roman"/>
          <w:spacing w:val="0"/>
          <w:w w:val="100"/>
          <w:position w:val="0"/>
          <w:shd w:val="clear" w:color="auto" w:fill="auto"/>
          <w:lang w:val="en-US" w:eastAsia="en-US" w:bidi="en-US"/>
        </w:rPr>
        <w:t xml:space="preserve">178, </w:t>
      </w:r>
      <w:r>
        <w:rPr>
          <w:rFonts w:ascii="Times New Roman" w:eastAsia="Times New Roman" w:hAnsi="Times New Roman" w:cs="Times New Roman"/>
          <w:spacing w:val="0"/>
          <w:w w:val="100"/>
          <w:position w:val="0"/>
          <w:shd w:val="clear" w:color="auto" w:fill="auto"/>
          <w:lang w:val="de-DE" w:eastAsia="de-DE" w:bidi="de-DE"/>
        </w:rPr>
        <w:t xml:space="preserve">Vienna, </w:t>
      </w:r>
      <w:r>
        <w:rPr>
          <w:rFonts w:ascii="Times New Roman" w:eastAsia="Times New Roman" w:hAnsi="Times New Roman" w:cs="Times New Roman"/>
          <w:spacing w:val="0"/>
          <w:w w:val="100"/>
          <w:position w:val="0"/>
          <w:shd w:val="clear" w:color="auto" w:fill="auto"/>
          <w:lang w:val="en-US" w:eastAsia="en-US" w:bidi="en-US"/>
        </w:rPr>
        <w:t>1871-75.</w:t>
      </w:r>
    </w:p>
    <w:p>
      <w:pPr>
        <w:widowControl w:val="0"/>
        <w:spacing w:line="1" w:lineRule="exact"/>
      </w:pPr>
    </w:p>
    <w:sectPr>
      <w:footnotePr>
        <w:pos w:val="pageBottom"/>
        <w:numFmt w:val="decimal"/>
        <w:numRestart w:val="continuous"/>
      </w:footnotePr>
      <w:type w:val="continuous"/>
      <w:pgSz w:w="12240" w:h="16840"/>
      <w:pgMar w:top="1415" w:left="1622" w:right="1218"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lang w:val="de-DE" w:eastAsia="de-DE" w:bidi="de-DE"/>
    </w:rPr>
  </w:style>
  <w:style w:type="character" w:customStyle="1" w:styleId="CharStyle13">
    <w:name w:val="Body text (6)_"/>
    <w:basedOn w:val="DefaultParagraphFont"/>
    <w:link w:val="Style12"/>
    <w:rPr>
      <w:rFonts w:ascii="Cambria" w:eastAsia="Cambria" w:hAnsi="Cambria" w:cs="Cambria"/>
      <w:b w:val="0"/>
      <w:bCs w:val="0"/>
      <w:i w:val="0"/>
      <w:iCs w:val="0"/>
      <w:smallCaps w:val="0"/>
      <w:strike w:val="0"/>
      <w:color w:val="4D402C"/>
      <w:sz w:val="15"/>
      <w:szCs w:val="15"/>
      <w:u w:val="none"/>
    </w:rPr>
  </w:style>
  <w:style w:type="character" w:customStyle="1" w:styleId="CharStyle17">
    <w:name w:val="Body text (2)_"/>
    <w:basedOn w:val="DefaultParagraphFont"/>
    <w:link w:val="Style16"/>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Other"/>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de-DE" w:eastAsia="de-DE" w:bidi="de-DE"/>
    </w:rPr>
  </w:style>
  <w:style w:type="paragraph" w:customStyle="1" w:styleId="Style12">
    <w:name w:val="Body text (6)"/>
    <w:basedOn w:val="Normal"/>
    <w:link w:val="CharStyle1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6">
    <w:name w:val="Body text (2)"/>
    <w:basedOn w:val="Normal"/>
    <w:link w:val="CharStyle1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