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2084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Anthropology.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International d'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Anthropologie et d'Archéologie Préhistoriques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held its first meeting at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Neuchâtel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1866 ; it issues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Anthropological Institute of Great Britain and Ireland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1871 upon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Ethnological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which published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(1848-56)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(1859-69),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Anthropological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(1863), which issued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(1863-69)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Anthropological Review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(1864-70).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brings cut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United States: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Ashtabula Anthropolog.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Ethnolog.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(1845-53)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(1860-61);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Anthropolog. Inst.,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 Washington,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Anthropolog.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d’Anthr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apologie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(1859 ; re</w:t>
        <w:softHyphen/>
        <w:t xml:space="preserve">cognized 1864),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d'Ethnogr.,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Revue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Traditions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Populaires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Revue.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Austria-Hungary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Berlin,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Anthropologie,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(1869),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 Brunswick,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Anthropologie,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Archiv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Corr.-Blatt.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Göttingen,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Anthropolog. Ver.,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&amp;c.). Leipsic,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 f. Anthropolog., 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&amp;c.), afterwards joined to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Erdk.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Munich,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Ges. f. Anthropolog.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Beitr.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&amp;c.). Stuttgart,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Anthropolog.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Vienna,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Anthropolog. Ges.,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Florence,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Ital. di Antropologia, Archivio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Sweden: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Stockholm,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Antropologiska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Sällskapet,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Tidskr.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Spain: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Madrid,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Antropolog. Esp., Revista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(1875, &amp;c.). Havana (Cuba),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Antropológ.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Imp. Soc. for Friends of Research in Nat. Sc., Anthropology,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05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XII.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Sociology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(Economic Science, Statistics, Law Education).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international societies are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Association Internationale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pour le Progrès 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Sciences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Sociales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Statistique,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first met at Brussels in 1853. Both have issued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Comptes Rendus.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Bienfaisance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 be traced to a suggestion at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Congrès Pénitentiaire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held at Frankfort in 1847. The first meeting took place at Brussels in 1856.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National Association for the Promotion of Social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 had united with it in 1864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for Promoting the Amendment of the Law.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holds a yearly migratory meeting, and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Social Science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(1834), with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Political Economy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Cobden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for the diffusion of the political and economical principles with which Cobden’s name is associated, having various publications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Institute of Actuaries ; Institute of Chartered Accountants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(18S0) ;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Institute of Bankers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 meet in London. There are also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Man</w:t>
        <w:softHyphen/>
        <w:t>chester Statistical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Actuarial Society of Edinburgh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 ;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Social and Statistical Society of Ireland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(1847), with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Dublin. After the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Inns op Court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q.v.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the most important of English legal societies is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Incorporated Law Society of the United Kingdom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(1827, incorporated 1831) ; it began courses of lectures for students in 1833, and was appointed registrar of solicitors ten years later, and obtained supple</w:t>
        <w:softHyphen/>
        <w:t xml:space="preserve">mentary charters in 1845 and 1878 ; it has fifty provincial law societies in association.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Verulam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published a few books and came to an end.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Selden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promotion of the study of the history of law was established in 18S7. The headquarters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Association for the Reform and Codification of the Law of Nations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in London, but conferences are held in various Continental towns.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Institute of Patent Agents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(incor</w:t>
        <w:softHyphen/>
        <w:t xml:space="preserve">porated 1882) issues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Juridical Society of Edinburgh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(1773) has published five editions of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Complete System of Conveyancing.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Ascham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1879 for the improvement of educational methods;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for the Development of the Science of Education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 issues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for Promotion of Soc. Sc.;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 Assoc., Collections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&amp;c.). New York,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for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Polit.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Education, Publ.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Grenoble,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(1840, &amp;c.). Marseilles,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Répertoire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&amp;c.). Paris,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Int. des Études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Pratiques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d'Écon.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recognized 1869);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Réforme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Soc.; Soc. Fran,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 Univ.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issued jointly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Acad. Nat.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since 1849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Paris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recognized 1869),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Législation Comparée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 recognized 1873),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Annuaire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Lég.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Franç.,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Lég. Étran.; Soc. pour l’Instr. Élément.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(1815, recognized 1831),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St Maixent,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Deux- Sèvres.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Berlin,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Volkswirths. 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Volkswirths.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Zeitfragen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Volkswirths.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Förde</w:t>
        <w:softHyphen/>
        <w:t xml:space="preserve">rung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Handelsfreiheit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d.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Statist.; Jurist.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Dresden,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Statistischer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Frank</w:t>
        <w:softHyphen/>
        <w:t xml:space="preserve">fort,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Statistische Ges.; Juristische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Rundschau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Laibach,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Jurist.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f. wiss. Pädagogik, Jahrbuch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Belgium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Brussels,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Ligue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 l'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Enseignement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Centr.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Instituteurs Belges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Progrès.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Holland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: Amsterdam,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voor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 in Nederland, Jaarboekje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Jaarcijfers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Madrid,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Junta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Estadist.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Russia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Moscow,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Juridical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Pedagogical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Egypt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Cairo,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Bureau Central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Japan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Tokio,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Statist. Soc.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39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XIII.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Medicine, Surgery,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meeting of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Médical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International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held at Paris in 1867 ;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been issued annually since 1868.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 of the British National Veterinary Congress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date from 1881. The Royal Colleges of Physicians and of Surgeons of London, Edinburgh, and Dublin do not come within our scope.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Medical Society of London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(1773) is the oldest in the metropolis ; it has issued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(1787-1805),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(1810, &amp;c.),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The other London societies include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Abernethian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(1795), which issues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 ; British Dental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with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British Gynaecological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British Homoeopathic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Annals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British Medical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(1832), which has more than forty home and colonial branches, and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British Medical 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Clinical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Transactions; Dermato</w:t>
        <w:softHyphen/>
        <w:t>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Epidemiological Society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(1850)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Hahnemann Publishing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Materia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Medica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Harveian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Homoeopathic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Hunterian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Sydenham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which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Biennial Retrospect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&amp;c.), and translations and reprints of books and papers of value, succeeded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Old Syden</w:t>
        <w:softHyphen/>
        <w:t>ham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(1844-57), which issued 40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Obstetrical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</w:t>
        <w:softHyphen/>
        <w:t>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Odontological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Ophthalmological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Parkes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Museum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founded in memory of the services of Dr. E. A.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Parkes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sanitary science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Pathological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Transactions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Pharmaceutical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 with museum, which has a branch at Edinburgh,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Pharmaceutical 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Physiological Association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(1876)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 Journ. of Physiology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Medical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Chirurgical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1805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charter 1834), with library,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(1809,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Sanitary Institute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the council of which appoint examiners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of Medical Officers of Health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provincial societies are very numerous and include—Birmingham,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Midland Med.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(1848). Dublin,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Acad. of Med. in Ireland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&amp;c.). Edinburgh,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Med. 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(1737 ; charter 1778);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Harveian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(1752);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Medico-Chirurg.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(1824, &amp;c.);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Obstetrical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(1840). Glasgow,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Medico-Chirurg.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based upon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Med.-Chirurg.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(both 1814). Manchester,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Australia: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Melbourne,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 of Victoria, Austr. Med.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Canada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Montreal,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du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Canada, Revue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Canada Med.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Assoc., Trans.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(1877, &amp;c.)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Bombay,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and Physical Soc., Trans.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&amp;c.). Calcutta,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United States: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Pub. Health Assoc., Reports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Dental Assoc.,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 ;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Inst. of Hom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œ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&amp;c.). The State medical associations include those of Alabama,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 ; Georgia,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 ; Maine,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 ; Missouri,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 ; and South Carolina,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State medical societies include those of Arkansas,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 ; California,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 ; Illinois,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 ; Kansas,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 ; Michigan,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 ; Minnesota,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 ; Nebraska,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 ; New Jersey,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 ; Pennsylvania,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 ; Rhode Island,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 ; Texas,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(1874) ; and Wisconsin,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(1880, &amp;c.). To these have to be added the following town associations. Albany,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(1807, &amp;c.). Balti</w:t>
        <w:softHyphen/>
        <w:t xml:space="preserve">more,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Faculty of Maryland,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Boston,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Gyn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colog.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Mass. Medico-Legal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(187S, &amp;c.). New York,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Acad. of Med.,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(1815,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Medico-Chirurg.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Surg.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Medico-Legal Soc., Sanitarian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Ophthalmolog.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&amp;c.). Philadelphia,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Assoc., Trans.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Obstet.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Pharm.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Assoc., Proc. ; Patholog.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Richmond,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Besançon,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&amp;c.). Bordeaux,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de. Pharm.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et de Chirurg.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known by its present name since 1875),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Année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&amp;c.).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Chambéry,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Rend.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&amp;c.). Grenoble,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Méd.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et de Pharm.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Havre,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Soc. de Pharm.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(1858),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Lille,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Centr. 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Bull.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Lyons,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Nat. 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(1789),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 Lyon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Marseilles,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Comptes Rend.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(1826-53)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Le Mars.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Méd.-Chirurg.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Paris,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Méd. Pratique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 ; Acad. Nat. 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Chirurg.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reorganized 1859),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Anat.,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Clinique, 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Méd. des Hôpitaux, 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&amp;c.):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Méd. Legale; Soc. de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Pharm.,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Journ.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(1815,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Thérapeutique ; Soc. Fran. de Hygiène ; Soc. Centr. de Méd. Vétérinaire.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Rouen,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Union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Libre des Pharmaciens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Toulouse,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Revue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Tours,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Austria-Hungary: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Aerztevereinsbund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Verhandl. ; Central Ver. 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Zahnärzte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Mittheil. ; 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Veterinärrath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D. Apotheker-Ver.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(1S2O),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&amp;c.). Berlin,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Heilkunde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Magazin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Geburtshülfe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u. Gyn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kologie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Ztschr.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Heilkunde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Berl. Med.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Physiolog.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Ver .f. Med.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Statistik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Homöop. Aerzte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Chirurgie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Verband der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Aerztl.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Vereine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(1865). Breslau,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 Physiolog.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Heilkunde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Verband d. Schles. Aerzte-Ver.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Cologne,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Rhein. Med.-Chirurg.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Organ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&amp;c.). Darmstadt,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Aerztl. Kreisver.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(1844). Dresden,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u. Heil-Kunde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Jahresber.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&amp;c.). Erlangen,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Physik.-Med.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Sitzungsber.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Frankfort,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Aerztl.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Jahresber.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Hamburg,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Aerztl.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(1816). Hanover,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Analyt.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Chemiker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(1878). Heidelberg,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Ophthal.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f.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wiss. Heil</w:t>
        <w:softHyphen/>
        <w:t>kunde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(1851). Leipsic,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Med.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(1829);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Geburtshülfe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Mittheil.; Homöop. Central-Ver.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Magdeburg,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D. Chirurgen-Ver.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Ztschr.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Munich,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Aerztl.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Int.-Blatt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Strasburg,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Vétérin.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Stuttgart,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Württemb. Aerztl.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(1831),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Corr.-Blatt.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Hahnemannia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Apotheker-Ver.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Pharm. Wochenblatt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Vienna,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K. k. Ges. der Aerzte, 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Weimar,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Med.-Naturwiss.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Würzburg,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Physikal.-Med.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Switzerland: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Geneva,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Méd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Schweiz.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Apotheker-Ver.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Bologna,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Med.- Chirurg.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Med.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Chirurg.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Milan,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Ital. d’lgiena.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Modena,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Med.-Chirurg.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Naples,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Real. Accad. Med.-Chirurg.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Rome,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R. Istit. Fisico-Patologico.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Turin,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Real. Med.-Chirurg.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Belgium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Antwerp,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Brussels,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Roy.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Roy.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 Pharm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Bull.; Soc. Anat. Pathalog.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Belge. de Méd. H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omceop.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Ghent,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Liége,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Holland: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Amsterdam,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Genootschap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ter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Bevordering der Genees-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Heel-Kunde,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Verhandel.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Nederl.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Maatschappij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ter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Bevord. der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Phar</w:t>
        <w:softHyphen/>
        <w:t xml:space="preserve">macie.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Batavia (Java), Geneeskundige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Vereeniging.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Denmark: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Copenhagen,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Med.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Selskab; Veterinaer Selskab.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Norway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Christiania,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Selskab.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Sweden: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Stockholm,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Farmaceutiska Inst.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Portugal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Lisbon,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 Med.;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Pharm.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Lusitana.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Russia: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Dorpat,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Pharm.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Moscow,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Phys.- Med.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Riga,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Practical Physicians.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Practical Physicians ; Imp.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Pharm.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Warsaw,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Med.-Chirurg.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Greece: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Athens,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Turkey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Constantinople,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Pharm.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Central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South America: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Buenos Ayres,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Asoc. 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Caracas,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Escuela Med.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Guadalajara (Mexico),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Merida (Mexico),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Mexico,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Monte Video,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Santiago,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Japan :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Tokio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for Adv. of Med. Sc.,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(1885, &amp;c.).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4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XIV.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Engineering and Architecture.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principal English society dealing with mechanical science is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tion of Civil Engineers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(established in 1818, incorporated in 1828), which pub</w:t>
        <w:softHyphen/>
        <w:t xml:space="preserve">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(4to, 1836-42)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Minutes of Proceedings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1837, &amp;c.). George Stephenson was the first president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Institution of Mechanical Engineers,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was founded at Birmingham in 1847, removed to London in 1877, and registered under the Companies Act in 1878. It holds migratory meetings and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of Engineers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(1861, &amp;c.) 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Civil and Mechanical Engineers'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 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Iron and Steel Institute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 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Surveyors' Institution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incorporated in 1881), which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holds profes</w:t>
        <w:softHyphen/>
        <w:t xml:space="preserve">sional examinations;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Aeronautical Society of Great Britain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 also meet in London. There are institutions in the provinces at Cardiff (1857, incorporated in 1881), Chesterfield (1871), Dublin (1835, incorporated in 1857), Glasgow (1857,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Middlesborough (1864), and Newcastle-on- Tyne (1852, incorporated in 1876,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leading architectural society is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Institute of British Architects,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in 1834, incorporated in 1837, and granted a new charter in 1887. It appoints examining professional boards and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 ; 1879,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(1879, &amp;c.). There are also the associations of Birmingham (1874), Edinburgh (1850), Exeter (1843), Glasgow (1868), Leeds (1876), Leicester</w:t>
        <w:softHyphen/>
        <w:t xml:space="preserve">shire (1855), Liverpool (1848), Manchester (1875), Newcastle-on-Tyne, and the societies of Manchester (1865) and Oxford (1837).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Architectural Association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London publishes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Sketch Book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Architectural Publishing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 has published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(1848-52), and since 1852 has been bringing out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Dictionary of Architecture.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 is also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of Architects.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United States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Easton, Pa.,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Inst. of Mining Engineers.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of Civ. Eng., Trans.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of Min. Eng.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of Architects.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Lyons,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Acad. d'Arch.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&amp;c.). Paris,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des Ingénieurs Civils, 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Cent. des Architectes, Bull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1875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has held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congress since 1875. Saint- Etienne,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l'Industrie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Min.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</w:t>
      </w:r>
    </w:p>
    <w:sectPr>
      <w:footnotePr>
        <w:pos w:val="pageBottom"/>
        <w:numFmt w:val="decimal"/>
        <w:numRestart w:val="continuous"/>
      </w:footnotePr>
      <w:pgSz w:w="12240" w:h="16840"/>
      <w:pgMar w:top="1783" w:left="1418" w:right="1434" w:bottom="130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  <w:style w:type="paragraph" w:styleId="Style2">
    <w:name w:val="Body text"/>
    <w:basedOn w:val="Normal"/>
    <w:link w:val="CharStyle3"/>
    <w:pPr>
      <w:widowControl w:val="0"/>
      <w:shd w:val="clear" w:color="auto" w:fill="FFFFFF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