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961"/>
        <w:gridCol w:w="688"/>
        <w:gridCol w:w="688"/>
        <w:gridCol w:w="688"/>
        <w:gridCol w:w="454"/>
        <w:gridCol w:w="266"/>
        <w:gridCol w:w="396"/>
        <w:gridCol w:w="374"/>
      </w:tblGrid>
      <w:tr>
        <w:trPr>
          <w:trHeight w:val="238"/>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1863.</w:t>
            </w:r>
          </w:p>
        </w:tc>
        <w:tc>
          <w:tcPr>
            <w:gridSpan w:val="6"/>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1883.</w:t>
            </w:r>
          </w:p>
        </w:tc>
      </w:tr>
      <w:tr>
        <w:trPr>
          <w:trHeight w:val="241"/>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Thousands of Metric Tons @@</w:t>
            </w:r>
            <w:r>
              <w:rPr>
                <w:spacing w:val="0"/>
                <w:w w:val="100"/>
                <w:position w:val="0"/>
                <w:sz w:val="12"/>
                <w:szCs w:val="12"/>
                <w:shd w:val="clear" w:color="auto" w:fill="auto"/>
                <w:vertAlign w:val="superscript"/>
                <w:lang w:val="en-US" w:eastAsia="en-US" w:bidi="en-US"/>
              </w:rPr>
              <w:t xml:space="preserve">1 </w:t>
            </w:r>
            <w:r>
              <w:rPr>
                <w:spacing w:val="0"/>
                <w:w w:val="100"/>
                <w:position w:val="0"/>
                <w:sz w:val="12"/>
                <w:szCs w:val="12"/>
                <w:shd w:val="clear" w:color="auto" w:fill="auto"/>
                <w:lang w:val="en-US" w:eastAsia="en-US" w:bidi="en-US"/>
              </w:rPr>
              <w:t>produced.</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Thousands of Metric Tons</w:t>
            </w:r>
          </w:p>
          <w:p>
            <w:pPr>
              <w:pStyle w:val="Style2"/>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produced.</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Value in thousands of Pounds</w:t>
            </w:r>
          </w:p>
          <w:p>
            <w:pPr>
              <w:pStyle w:val="Style2"/>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at the Mine.</w:t>
            </w: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Persons employed.</w:t>
            </w:r>
          </w:p>
        </w:tc>
        <w:tc>
          <w:tcPr>
            <w:vMerge w:val="restart"/>
            <w:tcBorders>
              <w:top w:val="single" w:sz="4"/>
              <w:left w:val="single" w:sz="4"/>
              <w:right w:val="single" w:sz="4"/>
            </w:tcBorders>
            <w:shd w:val="clear" w:color="auto" w:fill="FFFFFF"/>
            <w:textDirection w:val="btLr"/>
            <w:vAlign w:val="top"/>
          </w:tcPr>
          <w:p>
            <w:pPr>
              <w:pStyle w:val="Style2"/>
              <w:keepNext w:val="0"/>
              <w:keepLines w:val="0"/>
              <w:widowControl w:val="0"/>
              <w:shd w:val="clear" w:color="auto" w:fill="auto"/>
              <w:bidi w:val="0"/>
              <w:spacing w:line="218" w:lineRule="auto"/>
              <w:ind w:left="0" w:firstLine="0"/>
              <w:jc w:val="left"/>
              <w:rPr>
                <w:sz w:val="12"/>
                <w:szCs w:val="12"/>
              </w:rPr>
            </w:pPr>
            <w:r>
              <w:rPr>
                <w:spacing w:val="0"/>
                <w:w w:val="100"/>
                <w:position w:val="0"/>
                <w:sz w:val="12"/>
                <w:szCs w:val="12"/>
                <w:shd w:val="clear" w:color="auto" w:fill="auto"/>
                <w:lang w:val="en-US" w:eastAsia="en-US" w:bidi="en-US"/>
              </w:rPr>
              <w:t>Number of pro</w:t>
              <w:softHyphen/>
              <w:t>ductive Mines.</w:t>
            </w:r>
          </w:p>
        </w:tc>
      </w:tr>
      <w:tr>
        <w:trPr>
          <w:trHeight w:val="680"/>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textDirection w:val="btLr"/>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Men.</w:t>
            </w:r>
          </w:p>
        </w:tc>
        <w:tc>
          <w:tcPr>
            <w:tcBorders>
              <w:top w:val="single" w:sz="4"/>
              <w:left w:val="single" w:sz="4"/>
            </w:tcBorders>
            <w:shd w:val="clear" w:color="auto" w:fill="FFFFFF"/>
            <w:textDirection w:val="btLr"/>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 xml:space="preserve">1 women. </w:t>
            </w:r>
            <w:r>
              <w:rPr>
                <w:rFonts w:ascii="SimSun" w:eastAsia="SimSun" w:hAnsi="SimSun" w:cs="SimSun"/>
                <w:spacing w:val="0"/>
                <w:w w:val="100"/>
                <w:position w:val="0"/>
                <w:sz w:val="12"/>
                <w:szCs w:val="12"/>
                <w:shd w:val="clear" w:color="auto" w:fill="auto"/>
                <w:lang w:val="en-US" w:eastAsia="en-US" w:bidi="en-US"/>
              </w:rPr>
              <w:t>∣</w:t>
            </w:r>
          </w:p>
        </w:tc>
        <w:tc>
          <w:tcPr>
            <w:tcBorders>
              <w:top w:val="single" w:sz="4"/>
              <w:left w:val="single" w:sz="4"/>
            </w:tcBorders>
            <w:shd w:val="clear" w:color="auto" w:fill="FFFFFF"/>
            <w:textDirection w:val="btLr"/>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Children.</w:t>
            </w:r>
          </w:p>
        </w:tc>
        <w:tc>
          <w:tcPr>
            <w:vMerge/>
            <w:tcBorders>
              <w:left w:val="single" w:sz="4"/>
              <w:right w:val="single" w:sz="4"/>
            </w:tcBorders>
            <w:shd w:val="clear" w:color="auto" w:fill="FFFFFF"/>
            <w:textDirection w:val="btLr"/>
            <w:vAlign w:val="top"/>
          </w:tcPr>
          <w:p>
            <w:pPr/>
          </w:p>
        </w:tc>
      </w:tr>
      <w:tr>
        <w:trPr>
          <w:trHeight w:val="169"/>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893"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Iron ore</w:t>
              <w:tab/>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223</w:t>
            </w:r>
          </w:p>
          <w:p>
            <w:pPr>
              <w:pStyle w:val="Style2"/>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270</w:t>
            </w:r>
          </w:p>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40</w:t>
            </w:r>
          </w:p>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246</w:t>
            </w:r>
          </w:p>
          <w:p>
            <w:pPr>
              <w:pStyle w:val="Style2"/>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169</w:t>
            </w:r>
          </w:p>
          <w:p>
            <w:pPr>
              <w:pStyle w:val="Style2"/>
              <w:keepNext w:val="0"/>
              <w:keepLines w:val="0"/>
              <w:widowControl w:val="0"/>
              <w:shd w:val="clear" w:color="auto" w:fill="auto"/>
              <w:bidi w:val="0"/>
              <w:spacing w:line="199" w:lineRule="auto"/>
              <w:ind w:left="0" w:firstLine="0"/>
              <w:jc w:val="left"/>
              <w:rPr>
                <w:sz w:val="12"/>
                <w:szCs w:val="12"/>
              </w:rPr>
            </w:pPr>
            <w:r>
              <w:rPr>
                <w:spacing w:val="0"/>
                <w:w w:val="100"/>
                <w:position w:val="0"/>
                <w:sz w:val="12"/>
                <w:szCs w:val="12"/>
                <w:shd w:val="clear" w:color="auto" w:fill="auto"/>
                <w:lang w:val="en-US" w:eastAsia="en-US" w:bidi="en-US"/>
              </w:rPr>
              <w:t>481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4,526</w:t>
            </w:r>
          </w:p>
          <w:p>
            <w:pPr>
              <w:pStyle w:val="Style2"/>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280</w:t>
            </w:r>
          </w:p>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25</w:t>
            </w:r>
          </w:p>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23</w:t>
            </w:r>
          </w:p>
          <w:p>
            <w:pPr>
              <w:pStyle w:val="Style2"/>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2,455</w:t>
            </w:r>
          </w:p>
          <w:p>
            <w:pPr>
              <w:pStyle w:val="Style2"/>
              <w:keepNext w:val="0"/>
              <w:keepLines w:val="0"/>
              <w:widowControl w:val="0"/>
              <w:shd w:val="clear" w:color="auto" w:fill="auto"/>
              <w:bidi w:val="0"/>
              <w:spacing w:line="199" w:lineRule="auto"/>
              <w:ind w:left="0" w:firstLine="0"/>
              <w:jc w:val="left"/>
              <w:rPr>
                <w:sz w:val="12"/>
                <w:szCs w:val="12"/>
              </w:rPr>
            </w:pPr>
            <w:r>
              <w:rPr>
                <w:spacing w:val="0"/>
                <w:w w:val="100"/>
                <w:position w:val="0"/>
                <w:sz w:val="12"/>
                <w:szCs w:val="12"/>
                <w:shd w:val="clear" w:color="auto" w:fill="auto"/>
                <w:lang w:val="en-US" w:eastAsia="en-US" w:bidi="en-US"/>
              </w:rPr>
              <w:t>23</w:t>
            </w:r>
          </w:p>
          <w:p>
            <w:pPr>
              <w:pStyle w:val="Style2"/>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54</w:t>
            </w:r>
          </w:p>
          <w:p>
            <w:pPr>
              <w:pStyle w:val="Style2"/>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20@@</w:t>
            </w:r>
            <w:r>
              <w:rPr>
                <w:spacing w:val="0"/>
                <w:w w:val="100"/>
                <w:position w:val="0"/>
                <w:sz w:val="12"/>
                <w:szCs w:val="12"/>
                <w:shd w:val="clear" w:color="auto" w:fill="auto"/>
                <w:vertAlign w:val="superscript"/>
                <w:lang w:val="en-US" w:eastAsia="en-US" w:bidi="en-US"/>
              </w:rPr>
              <w:t>2</w:t>
            </w:r>
          </w:p>
          <w:p>
            <w:pPr>
              <w:pStyle w:val="Style2"/>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1,044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ind w:left="0" w:firstLine="0"/>
              <w:jc w:val="left"/>
              <w:rPr>
                <w:sz w:val="12"/>
                <w:szCs w:val="12"/>
              </w:rPr>
            </w:pPr>
            <w:r>
              <w:rPr>
                <w:spacing w:val="0"/>
                <w:w w:val="100"/>
                <w:position w:val="0"/>
                <w:sz w:val="12"/>
                <w:szCs w:val="12"/>
                <w:shd w:val="clear" w:color="auto" w:fill="auto"/>
                <w:lang w:val="en-US" w:eastAsia="en-US" w:bidi="en-US"/>
              </w:rPr>
              <w:t>506∙l</w:t>
            </w:r>
          </w:p>
          <w:p>
            <w:pPr>
              <w:pStyle w:val="Style2"/>
              <w:keepNext w:val="0"/>
              <w:keepLines w:val="0"/>
              <w:widowControl w:val="0"/>
              <w:shd w:val="clear" w:color="auto" w:fill="auto"/>
              <w:bidi w:val="0"/>
              <w:ind w:left="0" w:firstLine="0"/>
              <w:jc w:val="left"/>
              <w:rPr>
                <w:sz w:val="12"/>
                <w:szCs w:val="12"/>
              </w:rPr>
            </w:pPr>
            <w:r>
              <w:rPr>
                <w:spacing w:val="0"/>
                <w:w w:val="100"/>
                <w:position w:val="0"/>
                <w:sz w:val="12"/>
                <w:szCs w:val="12"/>
                <w:shd w:val="clear" w:color="auto" w:fill="auto"/>
                <w:lang w:val="en-US" w:eastAsia="en-US" w:bidi="en-US"/>
              </w:rPr>
              <w:t>l,405∙2</w:t>
            </w:r>
          </w:p>
          <w:p>
            <w:pPr>
              <w:pStyle w:val="Style2"/>
              <w:keepNext w:val="0"/>
              <w:keepLines w:val="0"/>
              <w:widowControl w:val="0"/>
              <w:shd w:val="clear" w:color="auto" w:fill="auto"/>
              <w:bidi w:val="0"/>
              <w:ind w:left="0" w:firstLine="0"/>
              <w:jc w:val="left"/>
              <w:rPr>
                <w:sz w:val="12"/>
                <w:szCs w:val="12"/>
              </w:rPr>
            </w:pPr>
            <w:r>
              <w:rPr>
                <w:spacing w:val="0"/>
                <w:w w:val="100"/>
                <w:position w:val="0"/>
                <w:sz w:val="12"/>
                <w:szCs w:val="12"/>
                <w:shd w:val="clear" w:color="auto" w:fill="auto"/>
                <w:lang w:val="en-US" w:eastAsia="en-US" w:bidi="en-US"/>
              </w:rPr>
              <w:t>157∙5</w:t>
            </w:r>
          </w:p>
          <w:p>
            <w:pPr>
              <w:pStyle w:val="Style2"/>
              <w:keepNext w:val="0"/>
              <w:keepLines w:val="0"/>
              <w:widowControl w:val="0"/>
              <w:shd w:val="clear" w:color="auto" w:fill="auto"/>
              <w:bidi w:val="0"/>
              <w:ind w:left="0" w:firstLine="0"/>
              <w:jc w:val="left"/>
              <w:rPr>
                <w:sz w:val="12"/>
                <w:szCs w:val="12"/>
              </w:rPr>
            </w:pPr>
            <w:r>
              <w:rPr>
                <w:spacing w:val="0"/>
                <w:w w:val="100"/>
                <w:position w:val="0"/>
                <w:sz w:val="12"/>
                <w:szCs w:val="12"/>
                <w:shd w:val="clear" w:color="auto" w:fill="auto"/>
                <w:lang w:val="en-US" w:eastAsia="en-US" w:bidi="en-US"/>
              </w:rPr>
              <w:t>88 ∙3 l,094∙5</w:t>
            </w:r>
          </w:p>
          <w:p>
            <w:pPr>
              <w:pStyle w:val="Style2"/>
              <w:keepNext w:val="0"/>
              <w:keepLines w:val="0"/>
              <w:widowControl w:val="0"/>
              <w:shd w:val="clear" w:color="auto" w:fill="auto"/>
              <w:bidi w:val="0"/>
              <w:ind w:left="0" w:firstLine="0"/>
              <w:jc w:val="left"/>
              <w:rPr>
                <w:sz w:val="12"/>
                <w:szCs w:val="12"/>
              </w:rPr>
            </w:pPr>
            <w:r>
              <w:rPr>
                <w:spacing w:val="0"/>
                <w:w w:val="100"/>
                <w:position w:val="0"/>
                <w:sz w:val="12"/>
                <w:szCs w:val="12"/>
                <w:shd w:val="clear" w:color="auto" w:fill="auto"/>
                <w:lang w:val="en-US" w:eastAsia="en-US" w:bidi="en-US"/>
              </w:rPr>
              <w:t>209·1</w:t>
            </w:r>
          </w:p>
          <w:p>
            <w:pPr>
              <w:pStyle w:val="Style2"/>
              <w:keepNext w:val="0"/>
              <w:keepLines w:val="0"/>
              <w:widowControl w:val="0"/>
              <w:shd w:val="clear" w:color="auto" w:fill="auto"/>
              <w:bidi w:val="0"/>
              <w:ind w:left="0" w:firstLine="0"/>
              <w:jc w:val="left"/>
              <w:rPr>
                <w:sz w:val="12"/>
                <w:szCs w:val="12"/>
              </w:rPr>
            </w:pPr>
            <w:r>
              <w:rPr>
                <w:spacing w:val="0"/>
                <w:w w:val="100"/>
                <w:position w:val="0"/>
                <w:sz w:val="12"/>
                <w:szCs w:val="12"/>
                <w:shd w:val="clear" w:color="auto" w:fill="auto"/>
                <w:lang w:val="en-US" w:eastAsia="en-US" w:bidi="en-US"/>
              </w:rPr>
              <w:t>56∙4</w:t>
            </w:r>
          </w:p>
          <w:p>
            <w:pPr>
              <w:pStyle w:val="Style2"/>
              <w:keepNext w:val="0"/>
              <w:keepLines w:val="0"/>
              <w:widowControl w:val="0"/>
              <w:shd w:val="clear" w:color="auto" w:fill="auto"/>
              <w:bidi w:val="0"/>
              <w:ind w:left="0" w:firstLine="0"/>
              <w:jc w:val="left"/>
              <w:rPr>
                <w:sz w:val="12"/>
                <w:szCs w:val="12"/>
              </w:rPr>
            </w:pPr>
            <w:r>
              <w:rPr>
                <w:spacing w:val="0"/>
                <w:w w:val="100"/>
                <w:position w:val="0"/>
                <w:sz w:val="12"/>
                <w:szCs w:val="12"/>
                <w:shd w:val="clear" w:color="auto" w:fill="auto"/>
                <w:lang w:val="en-US" w:eastAsia="en-US" w:bidi="en-US"/>
              </w:rPr>
              <w:t>17·4</w:t>
            </w:r>
          </w:p>
          <w:p>
            <w:pPr>
              <w:pStyle w:val="Style2"/>
              <w:keepNext w:val="0"/>
              <w:keepLines w:val="0"/>
              <w:widowControl w:val="0"/>
              <w:shd w:val="clear" w:color="auto" w:fill="auto"/>
              <w:bidi w:val="0"/>
              <w:ind w:left="0" w:firstLine="0"/>
              <w:jc w:val="left"/>
              <w:rPr>
                <w:sz w:val="12"/>
                <w:szCs w:val="12"/>
              </w:rPr>
            </w:pPr>
            <w:r>
              <w:rPr>
                <w:spacing w:val="0"/>
                <w:w w:val="100"/>
                <w:position w:val="0"/>
                <w:sz w:val="12"/>
                <w:szCs w:val="12"/>
                <w:shd w:val="clear" w:color="auto" w:fill="auto"/>
                <w:lang w:val="en-US" w:eastAsia="en-US" w:bidi="en-US"/>
              </w:rPr>
              <w:t>463∙6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12,157</w:t>
            </w:r>
          </w:p>
          <w:p>
            <w:pPr>
              <w:pStyle w:val="Style2"/>
              <w:keepNext w:val="0"/>
              <w:keepLines w:val="0"/>
              <w:widowControl w:val="0"/>
              <w:shd w:val="clear" w:color="auto" w:fill="auto"/>
              <w:bidi w:val="0"/>
              <w:spacing w:line="199" w:lineRule="auto"/>
              <w:ind w:left="0" w:firstLine="0"/>
              <w:jc w:val="left"/>
              <w:rPr>
                <w:sz w:val="12"/>
                <w:szCs w:val="12"/>
              </w:rPr>
            </w:pPr>
            <w:r>
              <w:rPr>
                <w:spacing w:val="0"/>
                <w:w w:val="100"/>
                <w:position w:val="0"/>
                <w:sz w:val="12"/>
                <w:szCs w:val="12"/>
                <w:shd w:val="clear" w:color="auto" w:fill="auto"/>
                <w:lang w:val="en-US" w:eastAsia="en-US" w:bidi="en-US"/>
              </w:rPr>
              <w:t>14,874</w:t>
            </w:r>
          </w:p>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3,578</w:t>
            </w:r>
          </w:p>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539</w:t>
            </w:r>
          </w:p>
          <w:p>
            <w:pPr>
              <w:pStyle w:val="Style2"/>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9,716</w:t>
            </w:r>
          </w:p>
          <w:p>
            <w:pPr>
              <w:pStyle w:val="Style2"/>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2,991</w:t>
            </w:r>
          </w:p>
          <w:p>
            <w:pPr>
              <w:pStyle w:val="Style2"/>
              <w:keepNext w:val="0"/>
              <w:keepLines w:val="0"/>
              <w:widowControl w:val="0"/>
              <w:shd w:val="clear" w:color="auto" w:fill="auto"/>
              <w:bidi w:val="0"/>
              <w:spacing w:line="199" w:lineRule="auto"/>
              <w:ind w:left="0" w:firstLine="0"/>
              <w:jc w:val="left"/>
              <w:rPr>
                <w:sz w:val="12"/>
                <w:szCs w:val="12"/>
              </w:rPr>
            </w:pPr>
            <w:r>
              <w:rPr>
                <w:spacing w:val="0"/>
                <w:w w:val="100"/>
                <w:position w:val="0"/>
                <w:sz w:val="12"/>
                <w:szCs w:val="12"/>
                <w:shd w:val="clear" w:color="auto" w:fill="auto"/>
                <w:lang w:val="en-US" w:eastAsia="en-US" w:bidi="en-US"/>
              </w:rPr>
              <w:t>1,572</w:t>
            </w:r>
          </w:p>
          <w:p>
            <w:pPr>
              <w:pStyle w:val="Style2"/>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371</w:t>
            </w:r>
          </w:p>
          <w:p>
            <w:pPr>
              <w:pStyle w:val="Style2"/>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7,235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472</w:t>
            </w:r>
          </w:p>
          <w:p>
            <w:pPr>
              <w:pStyle w:val="Style2"/>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110</w:t>
            </w:r>
          </w:p>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72</w:t>
            </w:r>
          </w:p>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w:t>
            </w:r>
          </w:p>
          <w:p>
            <w:pPr>
              <w:pStyle w:val="Style2"/>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684</w:t>
            </w:r>
          </w:p>
          <w:p>
            <w:pPr>
              <w:pStyle w:val="Style2"/>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1</w:t>
            </w:r>
          </w:p>
          <w:p>
            <w:pPr>
              <w:pStyle w:val="Style2"/>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111</w:t>
            </w:r>
          </w:p>
          <w:p>
            <w:pPr>
              <w:pStyle w:val="Style2"/>
              <w:keepNext w:val="0"/>
              <w:keepLines w:val="0"/>
              <w:widowControl w:val="0"/>
              <w:shd w:val="clear" w:color="auto" w:fill="auto"/>
              <w:bidi w:val="0"/>
              <w:spacing w:line="199" w:lineRule="auto"/>
              <w:ind w:left="0" w:firstLine="0"/>
              <w:jc w:val="left"/>
              <w:rPr>
                <w:sz w:val="12"/>
                <w:szCs w:val="12"/>
              </w:rPr>
            </w:pPr>
            <w:r>
              <w:rPr>
                <w:spacing w:val="0"/>
                <w:w w:val="100"/>
                <w:position w:val="0"/>
                <w:sz w:val="12"/>
                <w:szCs w:val="12"/>
                <w:shd w:val="clear" w:color="auto" w:fill="auto"/>
                <w:lang w:val="en-US" w:eastAsia="en-US" w:bidi="en-US"/>
              </w:rPr>
              <w:t>94</w:t>
            </w:r>
          </w:p>
          <w:p>
            <w:pPr>
              <w:pStyle w:val="Style2"/>
              <w:keepNext w:val="0"/>
              <w:keepLines w:val="0"/>
              <w:widowControl w:val="0"/>
              <w:shd w:val="clear" w:color="auto" w:fill="auto"/>
              <w:bidi w:val="0"/>
              <w:spacing w:line="218" w:lineRule="auto"/>
              <w:ind w:left="0" w:firstLine="0"/>
              <w:jc w:val="left"/>
              <w:rPr>
                <w:sz w:val="12"/>
                <w:szCs w:val="12"/>
              </w:rPr>
            </w:pPr>
            <w:r>
              <w:rPr>
                <w:spacing w:val="0"/>
                <w:w w:val="100"/>
                <w:position w:val="0"/>
                <w:sz w:val="12"/>
                <w:szCs w:val="12"/>
                <w:shd w:val="clear" w:color="auto" w:fill="auto"/>
                <w:lang w:val="en-US" w:eastAsia="en-US" w:bidi="en-US"/>
              </w:rPr>
              <w:t>680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2,550</w:t>
            </w:r>
          </w:p>
          <w:p>
            <w:pPr>
              <w:pStyle w:val="Style2"/>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2,538</w:t>
            </w:r>
          </w:p>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192</w:t>
            </w:r>
          </w:p>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14</w:t>
            </w:r>
          </w:p>
          <w:p>
            <w:pPr>
              <w:pStyle w:val="Style2"/>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1,265</w:t>
            </w:r>
          </w:p>
          <w:p>
            <w:pPr>
              <w:pStyle w:val="Style2"/>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309</w:t>
            </w:r>
          </w:p>
          <w:p>
            <w:pPr>
              <w:pStyle w:val="Style2"/>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297</w:t>
            </w:r>
          </w:p>
          <w:p>
            <w:pPr>
              <w:pStyle w:val="Style2"/>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108</w:t>
            </w:r>
          </w:p>
          <w:p>
            <w:pPr>
              <w:pStyle w:val="Style2"/>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1,365</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766</w:t>
            </w:r>
          </w:p>
          <w:p>
            <w:pPr>
              <w:pStyle w:val="Style2"/>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871</w:t>
            </w:r>
          </w:p>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92</w:t>
            </w:r>
          </w:p>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16</w:t>
            </w:r>
          </w:p>
          <w:p>
            <w:pPr>
              <w:pStyle w:val="Style2"/>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38</w:t>
            </w:r>
          </w:p>
          <w:p>
            <w:pPr>
              <w:pStyle w:val="Style2"/>
              <w:keepNext w:val="0"/>
              <w:keepLines w:val="0"/>
              <w:widowControl w:val="0"/>
              <w:shd w:val="clear" w:color="auto" w:fill="auto"/>
              <w:bidi w:val="0"/>
              <w:spacing w:line="199" w:lineRule="auto"/>
              <w:ind w:left="0" w:firstLine="0"/>
              <w:jc w:val="left"/>
              <w:rPr>
                <w:sz w:val="12"/>
                <w:szCs w:val="12"/>
              </w:rPr>
            </w:pPr>
            <w:r>
              <w:rPr>
                <w:spacing w:val="0"/>
                <w:w w:val="100"/>
                <w:position w:val="0"/>
                <w:sz w:val="12"/>
                <w:szCs w:val="12"/>
                <w:shd w:val="clear" w:color="auto" w:fill="auto"/>
                <w:lang w:val="en-US" w:eastAsia="en-US" w:bidi="en-US"/>
              </w:rPr>
              <w:t>12</w:t>
            </w:r>
          </w:p>
          <w:p>
            <w:pPr>
              <w:pStyle w:val="Style2"/>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97</w:t>
            </w:r>
          </w:p>
          <w:p>
            <w:pPr>
              <w:pStyle w:val="Style2"/>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53</w:t>
            </w:r>
          </w:p>
          <w:p>
            <w:pPr>
              <w:pStyle w:val="Style2"/>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465</w:t>
            </w:r>
          </w:p>
        </w:tc>
      </w:tr>
      <w:tr>
        <w:trPr>
          <w:trHeight w:val="119"/>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886"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Lead ore</w:t>
              <w:tab/>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6"/>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770" w:val="left"/>
              </w:tabs>
              <w:bidi w:val="0"/>
              <w:spacing w:line="206" w:lineRule="auto"/>
              <w:ind w:left="360" w:hanging="360"/>
              <w:jc w:val="left"/>
              <w:rPr>
                <w:sz w:val="12"/>
                <w:szCs w:val="12"/>
              </w:rPr>
            </w:pPr>
            <w:r>
              <w:rPr>
                <w:spacing w:val="0"/>
                <w:w w:val="100"/>
                <w:position w:val="0"/>
                <w:sz w:val="12"/>
                <w:szCs w:val="12"/>
                <w:shd w:val="clear" w:color="auto" w:fill="auto"/>
                <w:lang w:val="en-US" w:eastAsia="en-US" w:bidi="en-US"/>
              </w:rPr>
              <w:t xml:space="preserve">Argentiferous  lead ore</w:t>
              <w:tab/>
            </w:r>
          </w:p>
          <w:p>
            <w:pPr>
              <w:pStyle w:val="Style2"/>
              <w:keepNext w:val="0"/>
              <w:keepLines w:val="0"/>
              <w:widowControl w:val="0"/>
              <w:shd w:val="clear" w:color="auto" w:fill="auto"/>
              <w:tabs>
                <w:tab w:leader="dot" w:pos="896" w:val="left"/>
              </w:tabs>
              <w:bidi w:val="0"/>
              <w:spacing w:line="206" w:lineRule="auto"/>
              <w:ind w:left="0" w:firstLine="0"/>
              <w:jc w:val="left"/>
              <w:rPr>
                <w:sz w:val="12"/>
                <w:szCs w:val="12"/>
              </w:rPr>
            </w:pPr>
            <w:r>
              <w:rPr>
                <w:spacing w:val="0"/>
                <w:w w:val="100"/>
                <w:position w:val="0"/>
                <w:sz w:val="12"/>
                <w:szCs w:val="12"/>
                <w:shd w:val="clear" w:color="auto" w:fill="auto"/>
                <w:lang w:val="en-US" w:eastAsia="en-US" w:bidi="en-US"/>
              </w:rPr>
              <w:t>Silver ore</w:t>
              <w:tab/>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1"/>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896"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Copper ore</w:t>
              <w:tab/>
            </w:r>
          </w:p>
          <w:p>
            <w:pPr>
              <w:pStyle w:val="Style2"/>
              <w:keepNext w:val="0"/>
              <w:keepLines w:val="0"/>
              <w:widowControl w:val="0"/>
              <w:shd w:val="clear" w:color="auto" w:fill="auto"/>
              <w:tabs>
                <w:tab w:leader="dot" w:pos="889" w:val="left"/>
              </w:tabs>
              <w:bidi w:val="0"/>
              <w:spacing w:line="206" w:lineRule="auto"/>
              <w:ind w:left="0" w:firstLine="0"/>
              <w:jc w:val="left"/>
              <w:rPr>
                <w:sz w:val="12"/>
                <w:szCs w:val="12"/>
              </w:rPr>
            </w:pPr>
            <w:r>
              <w:rPr>
                <w:spacing w:val="0"/>
                <w:w w:val="100"/>
                <w:position w:val="0"/>
                <w:sz w:val="12"/>
                <w:szCs w:val="12"/>
                <w:shd w:val="clear" w:color="auto" w:fill="auto"/>
                <w:lang w:val="en-US" w:eastAsia="en-US" w:bidi="en-US"/>
              </w:rPr>
              <w:t>Mercury</w:t>
              <w:tab/>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22"/>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900"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Zinc....</w:t>
              <w:tab/>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8"/>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tabs>
                <w:tab w:leader="dot" w:pos="896" w:val="left"/>
              </w:tabs>
              <w:bidi w:val="0"/>
              <w:ind w:left="0" w:firstLine="0"/>
              <w:jc w:val="left"/>
              <w:rPr>
                <w:sz w:val="12"/>
                <w:szCs w:val="12"/>
              </w:rPr>
            </w:pPr>
            <w:r>
              <w:rPr>
                <w:spacing w:val="0"/>
                <w:w w:val="100"/>
                <w:position w:val="0"/>
                <w:sz w:val="12"/>
                <w:szCs w:val="12"/>
                <w:shd w:val="clear" w:color="auto" w:fill="auto"/>
                <w:lang w:val="en-US" w:eastAsia="en-US" w:bidi="en-US"/>
              </w:rPr>
              <w:t>Common salt .... Coal</w:t>
              <w:tab/>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Of the minerals mentioned in the preceding table it will be seen that iron and copper ores are those which show the greatest advance as compared with 1863. The production of these two ores advanced with rapid strides during the ten years 1874-1883. In the former year the production of both stood at about 500,000 tons. The iron ore is chiefly obtained in Vizcaya and Murcia, the former yielding by far the greatest quantity (in 1883 four-fifths of the total production of Spain), but the latter yielding the best quality (average value of Murcian iron in 1883, 5 pesetas=4s. per ton at the mine, as against 2·25 pesetas, or 1s. 9</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d., the average for the Vizcayan ore). All except a small fraction of the copper ore is obtained from the province of Huelva, in which lie the well-known mines of Rio Tinto. The lead ore is obtained chiefly in Murcia and Jaen. The famous mines of Linares belong to the latter province. Argentiferous lead is chiefly produced in Almeria, which also produces most of the silver ore of other kinds except argentiferous copper ore, which is entirely obtained from Ciudad Real. The still more celebrated cinnabar (mercury) mines of Almaden, the richest in the world till the discovery of the Californian mines of New Almaden, belong to Ciudad Real, and this province, together with that of Oviedo, furnishes the whole of the Spanish production of this mineral. Spanish salt is partly marine, partly derived from brine-springs and partly from rock-salt, of which last there is an entire mountain at Cardona in Barcelona. Coal is chiefly obtained in Oviedo, Palencia, and Cordova. The production is quite insignificant compared with the extent of the coal-bearing beds, which are estimated to cover an area of about 3500 square miles, of which nearly a third belongs to Oviedo, between one- eighth and one-seventh to Burgos and Soria, and about one-tenth to Teruel and Cordova. Among the less important Spanish minerals are manganese (chiefly in Ciudad Real), antimony, gold, cobalt, sodic sulphate, sulphate of barium (barytes), phosphorite (a valu</w:t>
        <w:softHyphen/>
        <w:t>able manure, a variety of apatite found in Caceres), alum, sulphur, kaolin, lignite, asphalt, besides a variety of building and orna</w:t>
        <w:softHyphen/>
        <w:t>mental stones.</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total number of mines (including springs for the production of mineral waters) in operation in Spain in 1883 was 2620, and the total number of labourers employed in them in that year was 57,626. The working of the mines is carried on under state supervision. For this purpose the whole kingdom, including the Balearic and Canary Islands, is divided into three sections, and each of these into four districts. Each section is under the charge of an inspector-general of the first class, and each of the districts under an inspector of the second class. By the law of July 6, 1859, a large number of important mines, including all the salt-works and rock-salt mines, were reserved as state property, but financial necessities have compelled the Government to sur</w:t>
        <w:softHyphen/>
        <w:t>render one mine after another, so that at present the state possesses only the cinnabar mines and some salt-works. Many of the mines have been granted to foreign (principally English) companies.</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Of the metallic ores produced in Spain, those of lead and mercury are the only ones which are chiefly reduced in the country. Though the working of iron is an industry of old standing in Spain, and a primitive kind of forge takes its name from Catalonia (see </w:t>
      </w:r>
      <w:r>
        <w:rPr>
          <w:smallCaps/>
          <w:spacing w:val="0"/>
          <w:w w:val="100"/>
          <w:position w:val="0"/>
          <w:shd w:val="clear" w:color="auto" w:fill="auto"/>
          <w:lang w:val="en-US" w:eastAsia="en-US" w:bidi="en-US"/>
        </w:rPr>
        <w:t>Iron),</w:t>
      </w:r>
      <w:r>
        <w:rPr>
          <w:spacing w:val="0"/>
          <w:w w:val="100"/>
          <w:position w:val="0"/>
          <w:shd w:val="clear" w:color="auto" w:fill="auto"/>
          <w:lang w:val="en-US" w:eastAsia="en-US" w:bidi="en-US"/>
        </w:rPr>
        <w:t xml:space="preserve"> the total production of iron, refined and unrefined, in Spain in 1883 was only 200,000 tons, and by far the greater part of the Spanish ore is exported, as will be seen by comparing Tables V. and VI. The production of iron in Spain is, however, rapidly and steadily increasing, the total amount in the first year of the decade ending in 1883 having been less than 60,000 tons. During the same decade the amount of copper produced in the kingdom increased from about 5000 to 32,000 tons. The amount of steel produced in the kingdom is quite insignificant (little more than 400 tons in 1883). The following table (VI.) gives particulars regarding the export of the chief mineral products of Spain in 1883 :—</w:t>
      </w:r>
    </w:p>
    <w:tbl>
      <w:tblPr>
        <w:tblOverlap w:val="never"/>
        <w:jc w:val="left"/>
        <w:tblLayout w:type="fixed"/>
      </w:tblPr>
      <w:tblGrid>
        <w:gridCol w:w="2041"/>
        <w:gridCol w:w="742"/>
        <w:gridCol w:w="756"/>
        <w:gridCol w:w="911"/>
      </w:tblGrid>
      <w:tr>
        <w:trPr>
          <w:trHeight w:val="360"/>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Minerals.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14" w:lineRule="auto"/>
              <w:ind w:left="0" w:firstLine="0"/>
              <w:jc w:val="left"/>
              <w:rPr>
                <w:sz w:val="12"/>
                <w:szCs w:val="12"/>
              </w:rPr>
            </w:pPr>
            <w:r>
              <w:rPr>
                <w:spacing w:val="0"/>
                <w:w w:val="100"/>
                <w:position w:val="0"/>
                <w:sz w:val="12"/>
                <w:szCs w:val="12"/>
                <w:shd w:val="clear" w:color="auto" w:fill="auto"/>
                <w:lang w:val="en-US" w:eastAsia="en-US" w:bidi="en-US"/>
              </w:rPr>
              <w:t>To United Kingdom.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To France.</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Total export to all Countries.</w:t>
            </w:r>
          </w:p>
        </w:tc>
      </w:tr>
      <w:tr>
        <w:trPr>
          <w:trHeight w:val="184"/>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Metric Tons.</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Metric Tons.</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Metric Tons.</w:t>
            </w:r>
          </w:p>
        </w:tc>
      </w:tr>
      <w:tr>
        <w:trPr>
          <w:trHeight w:val="94"/>
        </w:trPr>
        <w:tc>
          <w:tcPr>
            <w:tcBorders>
              <w:left w:val="single" w:sz="4"/>
            </w:tcBorders>
            <w:shd w:val="clear" w:color="auto" w:fill="FFFFFF"/>
            <w:vAlign w:val="bottom"/>
          </w:tcPr>
          <w:p>
            <w:pPr>
              <w:pStyle w:val="Style2"/>
              <w:keepNext w:val="0"/>
              <w:keepLines w:val="0"/>
              <w:widowControl w:val="0"/>
              <w:shd w:val="clear" w:color="auto" w:fill="auto"/>
              <w:tabs>
                <w:tab w:leader="dot" w:pos="1958"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Iron ore</w:t>
              <w:tab/>
            </w:r>
          </w:p>
        </w:tc>
        <w:tc>
          <w:tcPr>
            <w:vMerge w:val="restart"/>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2,895,000</w:t>
            </w:r>
          </w:p>
          <w:p>
            <w:pPr>
              <w:pStyle w:val="Style2"/>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2,400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511,000</w:t>
            </w:r>
          </w:p>
          <w:p>
            <w:pPr>
              <w:pStyle w:val="Style2"/>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2,000</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4,226,000@@</w:t>
            </w:r>
            <w:r>
              <w:rPr>
                <w:spacing w:val="0"/>
                <w:w w:val="100"/>
                <w:position w:val="0"/>
                <w:sz w:val="12"/>
                <w:szCs w:val="12"/>
                <w:shd w:val="clear" w:color="auto" w:fill="auto"/>
                <w:vertAlign w:val="superscript"/>
                <w:lang w:val="en-US" w:eastAsia="en-US" w:bidi="en-US"/>
              </w:rPr>
              <w:t>3</w:t>
            </w:r>
          </w:p>
          <w:p>
            <w:pPr>
              <w:pStyle w:val="Style2"/>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13,000</w:t>
            </w:r>
          </w:p>
        </w:tc>
      </w:tr>
      <w:tr>
        <w:trPr>
          <w:trHeight w:val="155"/>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969"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Argentiferous galena</w:t>
              <w:tab/>
            </w:r>
          </w:p>
        </w:tc>
        <w:tc>
          <w:tcPr>
            <w:vMerge/>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346"/>
        </w:trPr>
        <w:tc>
          <w:tcPr>
            <w:tcBorders>
              <w:top w:val="single" w:sz="4"/>
              <w:left w:val="single" w:sz="4"/>
            </w:tcBorders>
            <w:shd w:val="clear" w:color="auto" w:fill="FFFFFF"/>
            <w:vAlign w:val="top"/>
          </w:tcPr>
          <w:p>
            <w:pPr>
              <w:pStyle w:val="Style2"/>
              <w:keepNext w:val="0"/>
              <w:keepLines w:val="0"/>
              <w:widowControl w:val="0"/>
              <w:shd w:val="clear" w:color="auto" w:fill="auto"/>
              <w:tabs>
                <w:tab w:leader="dot" w:pos="1969"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Lead ore</w:t>
              <w:tab/>
            </w:r>
          </w:p>
          <w:p>
            <w:pPr>
              <w:pStyle w:val="Style2"/>
              <w:keepNext w:val="0"/>
              <w:keepLines w:val="0"/>
              <w:widowControl w:val="0"/>
              <w:shd w:val="clear" w:color="auto" w:fill="auto"/>
              <w:tabs>
                <w:tab w:leader="dot" w:pos="1969" w:val="left"/>
              </w:tabs>
              <w:bidi w:val="0"/>
              <w:spacing w:line="206" w:lineRule="auto"/>
              <w:ind w:left="0" w:firstLine="0"/>
              <w:jc w:val="left"/>
              <w:rPr>
                <w:sz w:val="12"/>
                <w:szCs w:val="12"/>
              </w:rPr>
            </w:pPr>
            <w:r>
              <w:rPr>
                <w:spacing w:val="0"/>
                <w:w w:val="100"/>
                <w:position w:val="0"/>
                <w:sz w:val="12"/>
                <w:szCs w:val="12"/>
                <w:shd w:val="clear" w:color="auto" w:fill="auto"/>
                <w:lang w:val="en-US" w:eastAsia="en-US" w:bidi="en-US"/>
              </w:rPr>
              <w:t>Copper ore</w:t>
              <w:tab/>
            </w:r>
          </w:p>
          <w:p>
            <w:pPr>
              <w:pStyle w:val="Style2"/>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Zinc ores—</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555,000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1,400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2,500</w:t>
            </w:r>
          </w:p>
          <w:p>
            <w:pPr>
              <w:pStyle w:val="Style2"/>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565,000</w:t>
            </w:r>
          </w:p>
        </w:tc>
      </w:tr>
      <w:tr>
        <w:trPr>
          <w:trHeight w:val="101"/>
        </w:trPr>
        <w:tc>
          <w:tcPr>
            <w:tcBorders>
              <w:left w:val="single" w:sz="4"/>
            </w:tcBorders>
            <w:shd w:val="clear" w:color="auto" w:fill="FFFFFF"/>
            <w:vAlign w:val="bottom"/>
          </w:tcPr>
          <w:p>
            <w:pPr>
              <w:pStyle w:val="Style2"/>
              <w:keepNext w:val="0"/>
              <w:keepLines w:val="0"/>
              <w:widowControl w:val="0"/>
              <w:shd w:val="clear" w:color="auto" w:fill="auto"/>
              <w:tabs>
                <w:tab w:leader="dot" w:pos="1234" w:val="left"/>
                <w:tab w:leader="dot" w:pos="1990"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Calamine</w:t>
              <w:tab/>
              <w:t>..</w:t>
              <w:tab/>
            </w:r>
          </w:p>
        </w:tc>
        <w:tc>
          <w:tcPr>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20,000</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360"/>
              <w:jc w:val="left"/>
              <w:rPr>
                <w:sz w:val="12"/>
                <w:szCs w:val="12"/>
              </w:rPr>
            </w:pPr>
            <w:r>
              <w:rPr>
                <w:spacing w:val="0"/>
                <w:w w:val="100"/>
                <w:position w:val="0"/>
                <w:sz w:val="12"/>
                <w:szCs w:val="12"/>
                <w:shd w:val="clear" w:color="auto" w:fill="auto"/>
                <w:lang w:val="en-US" w:eastAsia="en-US" w:bidi="en-US"/>
              </w:rPr>
              <w:t>30,000@@</w:t>
            </w:r>
            <w:r>
              <w:rPr>
                <w:spacing w:val="0"/>
                <w:w w:val="100"/>
                <w:position w:val="0"/>
                <w:sz w:val="12"/>
                <w:szCs w:val="12"/>
                <w:shd w:val="clear" w:color="auto" w:fill="auto"/>
                <w:vertAlign w:val="superscript"/>
                <w:lang w:val="en-US" w:eastAsia="en-US" w:bidi="en-US"/>
              </w:rPr>
              <w:t>4</w:t>
            </w:r>
          </w:p>
          <w:p>
            <w:pPr>
              <w:pStyle w:val="Style2"/>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15,000</w:t>
            </w:r>
            <w:r>
              <w:rPr>
                <w:spacing w:val="0"/>
                <w:w w:val="100"/>
                <w:position w:val="0"/>
                <w:sz w:val="12"/>
                <w:szCs w:val="12"/>
                <w:shd w:val="clear" w:color="auto" w:fill="auto"/>
                <w:vertAlign w:val="superscript"/>
                <w:lang w:val="en-US" w:eastAsia="en-US" w:bidi="en-US"/>
              </w:rPr>
              <w:t>4</w:t>
            </w:r>
          </w:p>
        </w:tc>
      </w:tr>
      <w:tr>
        <w:trPr>
          <w:trHeight w:val="140"/>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990"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Blende</w:t>
              <w:tab/>
            </w:r>
          </w:p>
        </w:tc>
        <w:tc>
          <w:tcPr>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212"/>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969"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Antimony ore</w:t>
              <w:tab/>
            </w:r>
          </w:p>
          <w:p>
            <w:pPr>
              <w:pStyle w:val="Style2"/>
              <w:keepNext w:val="0"/>
              <w:keepLines w:val="0"/>
              <w:widowControl w:val="0"/>
              <w:shd w:val="clear" w:color="auto" w:fill="auto"/>
              <w:tabs>
                <w:tab w:leader="dot" w:pos="1958" w:val="left"/>
              </w:tabs>
              <w:bidi w:val="0"/>
              <w:spacing w:line="206" w:lineRule="auto"/>
              <w:ind w:left="0" w:firstLine="0"/>
              <w:jc w:val="left"/>
              <w:rPr>
                <w:sz w:val="12"/>
                <w:szCs w:val="12"/>
              </w:rPr>
            </w:pPr>
            <w:r>
              <w:rPr>
                <w:spacing w:val="0"/>
                <w:w w:val="100"/>
                <w:position w:val="0"/>
                <w:sz w:val="12"/>
                <w:szCs w:val="12"/>
                <w:shd w:val="clear" w:color="auto" w:fill="auto"/>
                <w:lang w:val="en-US" w:eastAsia="en-US" w:bidi="en-US"/>
              </w:rPr>
              <w:t>Manganese</w:t>
              <w:tab/>
            </w:r>
          </w:p>
        </w:tc>
        <w:tc>
          <w:tcPr>
            <w:vMerge w:val="restart"/>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70</w:t>
            </w:r>
          </w:p>
          <w:p>
            <w:pPr>
              <w:pStyle w:val="Style2"/>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3,300</w:t>
            </w:r>
          </w:p>
          <w:p>
            <w:pPr>
              <w:pStyle w:val="Style2"/>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1,000</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70</w:t>
            </w:r>
          </w:p>
          <w:p>
            <w:pPr>
              <w:pStyle w:val="Style2"/>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4,500</w:t>
            </w:r>
          </w:p>
          <w:p>
            <w:pPr>
              <w:pStyle w:val="Style2"/>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56,000@@</w:t>
            </w:r>
            <w:r>
              <w:rPr>
                <w:spacing w:val="0"/>
                <w:w w:val="100"/>
                <w:position w:val="0"/>
                <w:sz w:val="12"/>
                <w:szCs w:val="12"/>
                <w:shd w:val="clear" w:color="auto" w:fill="auto"/>
                <w:vertAlign w:val="superscript"/>
                <w:lang w:val="en-US" w:eastAsia="en-US" w:bidi="en-US"/>
              </w:rPr>
              <w:t>s</w:t>
            </w:r>
          </w:p>
          <w:p>
            <w:pPr>
              <w:pStyle w:val="Style2"/>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30,000</w:t>
            </w:r>
          </w:p>
        </w:tc>
      </w:tr>
      <w:tr>
        <w:trPr>
          <w:trHeight w:val="119"/>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966"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Phosphorite</w:t>
              <w:tab/>
            </w:r>
          </w:p>
        </w:tc>
        <w:tc>
          <w:tcPr>
            <w:vMerge/>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8"/>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969"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Iron</w:t>
              <w:tab/>
            </w:r>
          </w:p>
        </w:tc>
        <w:tc>
          <w:tcPr>
            <w:vMerge/>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13.000</w:t>
            </w:r>
          </w:p>
        </w:tc>
        <w:tc>
          <w:tcPr>
            <w:vMerge/>
            <w:tcBorders>
              <w:left w:val="single" w:sz="4"/>
              <w:right w:val="single" w:sz="4"/>
            </w:tcBorders>
            <w:shd w:val="clear" w:color="auto" w:fill="FFFFFF"/>
            <w:vAlign w:val="bottom"/>
          </w:tcPr>
          <w:p>
            <w:pPr/>
          </w:p>
        </w:tc>
      </w:tr>
      <w:tr>
        <w:trPr>
          <w:trHeight w:val="122"/>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980"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Argentiferous lead</w:t>
              <w:tab/>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31,000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20,000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51,000</w:t>
            </w:r>
          </w:p>
        </w:tc>
      </w:tr>
      <w:tr>
        <w:trPr>
          <w:trHeight w:val="130"/>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Non-argentiferous lead (unwrought)</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51.000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25,000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77,000</w:t>
            </w:r>
          </w:p>
        </w:tc>
      </w:tr>
      <w:tr>
        <w:trPr>
          <w:trHeight w:val="112"/>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Oz.</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Oz.</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360"/>
              <w:jc w:val="left"/>
              <w:rPr>
                <w:sz w:val="12"/>
                <w:szCs w:val="12"/>
              </w:rPr>
            </w:pPr>
            <w:r>
              <w:rPr>
                <w:spacing w:val="0"/>
                <w:w w:val="100"/>
                <w:position w:val="0"/>
                <w:sz w:val="12"/>
                <w:szCs w:val="12"/>
                <w:shd w:val="clear" w:color="auto" w:fill="auto"/>
                <w:lang w:val="en-US" w:eastAsia="en-US" w:bidi="en-US"/>
              </w:rPr>
              <w:t>Oz.</w:t>
            </w:r>
          </w:p>
        </w:tc>
      </w:tr>
      <w:tr>
        <w:trPr>
          <w:trHeight w:val="86"/>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973"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Gold</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243</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522</w:t>
            </w:r>
          </w:p>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549,090</w:t>
            </w:r>
          </w:p>
          <w:p>
            <w:pPr>
              <w:pStyle w:val="Style2"/>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Lbs.</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765</w:t>
            </w:r>
          </w:p>
        </w:tc>
      </w:tr>
      <w:tr>
        <w:trPr>
          <w:trHeight w:val="119"/>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980"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Silver</w:t>
              <w:tab/>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190,595</w:t>
            </w:r>
          </w:p>
          <w:p>
            <w:pPr>
              <w:pStyle w:val="Style2"/>
              <w:keepNext w:val="0"/>
              <w:keepLines w:val="0"/>
              <w:widowControl w:val="0"/>
              <w:shd w:val="clear" w:color="auto" w:fill="auto"/>
              <w:bidi w:val="0"/>
              <w:spacing w:line="199" w:lineRule="auto"/>
              <w:ind w:left="0" w:firstLine="0"/>
              <w:jc w:val="left"/>
              <w:rPr>
                <w:sz w:val="12"/>
                <w:szCs w:val="12"/>
              </w:rPr>
            </w:pPr>
            <w:r>
              <w:rPr>
                <w:spacing w:val="0"/>
                <w:w w:val="100"/>
                <w:position w:val="0"/>
                <w:sz w:val="12"/>
                <w:szCs w:val="12"/>
                <w:shd w:val="clear" w:color="auto" w:fill="auto"/>
                <w:lang w:val="en-US" w:eastAsia="en-US" w:bidi="en-US"/>
              </w:rPr>
              <w:t>Lbs.</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739,686</w:t>
            </w:r>
          </w:p>
          <w:p>
            <w:pPr>
              <w:pStyle w:val="Style2"/>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Lbs.</w:t>
            </w:r>
          </w:p>
        </w:tc>
      </w:tr>
      <w:tr>
        <w:trPr>
          <w:trHeight w:val="155"/>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90"/>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976"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Mercury</w:t>
              <w:tab/>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910,037</w:t>
            </w:r>
          </w:p>
          <w:p>
            <w:pPr>
              <w:pStyle w:val="Style2"/>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7,440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23,924</w:t>
            </w:r>
          </w:p>
          <w:p>
            <w:pPr>
              <w:pStyle w:val="Style2"/>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68,708</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1,139,932@@</w:t>
            </w:r>
            <w:r>
              <w:rPr>
                <w:spacing w:val="0"/>
                <w:w w:val="100"/>
                <w:position w:val="0"/>
                <w:sz w:val="12"/>
                <w:szCs w:val="12"/>
                <w:shd w:val="clear" w:color="auto" w:fill="auto"/>
                <w:vertAlign w:val="superscript"/>
                <w:lang w:val="en-US" w:eastAsia="en-US" w:bidi="en-US"/>
              </w:rPr>
              <w:t>6</w:t>
            </w:r>
          </w:p>
          <w:p>
            <w:pPr>
              <w:pStyle w:val="Style2"/>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186,510</w:t>
            </w:r>
          </w:p>
          <w:p>
            <w:pPr>
              <w:pStyle w:val="Style2"/>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546,425@@</w:t>
            </w:r>
            <w:r>
              <w:rPr>
                <w:spacing w:val="0"/>
                <w:w w:val="100"/>
                <w:position w:val="0"/>
                <w:sz w:val="12"/>
                <w:szCs w:val="12"/>
                <w:shd w:val="clear" w:color="auto" w:fill="auto"/>
                <w:vertAlign w:val="superscript"/>
                <w:lang w:val="en-US" w:eastAsia="en-US" w:bidi="en-US"/>
              </w:rPr>
              <w:t>7</w:t>
            </w:r>
          </w:p>
        </w:tc>
      </w:tr>
      <w:tr>
        <w:trPr>
          <w:trHeight w:val="119"/>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969"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Wrought-iron and steel</w:t>
              <w:tab/>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44"/>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976"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Lead in tubes and other forms</w:t>
              <w:tab/>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320"/>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line="206" w:lineRule="auto"/>
              <w:ind w:left="0" w:firstLine="0"/>
              <w:jc w:val="left"/>
              <w:rPr>
                <w:sz w:val="12"/>
                <w:szCs w:val="12"/>
              </w:rPr>
            </w:pPr>
            <w:r>
              <w:rPr>
                <w:spacing w:val="0"/>
                <w:w w:val="100"/>
                <w:position w:val="0"/>
                <w:sz w:val="12"/>
                <w:szCs w:val="12"/>
                <w:shd w:val="clear" w:color="auto" w:fill="auto"/>
                <w:lang w:val="en-US" w:eastAsia="en-US" w:bidi="en-US"/>
              </w:rPr>
              <w:t xml:space="preserve">Copper, brass, and bronze in  plates, tubes, and other forms </w:t>
            </w:r>
          </w:p>
        </w:tc>
        <w:tc>
          <w:tcPr>
            <w:tcBorders>
              <w:bottom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171,403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187,844</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885,551</w:t>
            </w:r>
          </w:p>
        </w:tc>
      </w:tr>
    </w:tbl>
    <w:p>
      <w:pPr>
        <w:pStyle w:val="Style6"/>
        <w:keepNext w:val="0"/>
        <w:keepLines w:val="0"/>
        <w:widowControl w:val="0"/>
        <w:shd w:val="clear" w:color="auto" w:fill="auto"/>
        <w:bidi w:val="0"/>
        <w:spacing w:line="204" w:lineRule="auto"/>
        <w:ind w:left="0" w:firstLine="360"/>
        <w:jc w:val="left"/>
      </w:pPr>
      <w:r>
        <w:rPr>
          <w:i/>
          <w:iCs/>
          <w:spacing w:val="0"/>
          <w:w w:val="100"/>
          <w:position w:val="0"/>
          <w:shd w:val="clear" w:color="auto" w:fill="auto"/>
          <w:lang w:val="en-US" w:eastAsia="en-US" w:bidi="en-US"/>
        </w:rPr>
        <w:t>Manufactures.—</w:t>
      </w:r>
      <w:r>
        <w:rPr>
          <w:spacing w:val="0"/>
          <w:w w:val="100"/>
          <w:position w:val="0"/>
          <w:shd w:val="clear" w:color="auto" w:fill="auto"/>
          <w:lang w:val="en-US" w:eastAsia="en-US" w:bidi="en-US"/>
        </w:rPr>
        <w:t>At the census of 1877 only about 3 per cent. of the classified population was returned as engaged in manufactur</w:t>
        <w:softHyphen/>
        <w:t>ing industries. The principal manufacture is that of cotton, and the following table, which shows the position of Spain relatively to the other countries of Europe with reference to this branch of manufacturing industry, will also serve to some extent as an index of the rank belonging to Spain in mechanical industries generally :—</w:t>
      </w:r>
    </w:p>
    <w:tbl>
      <w:tblPr>
        <w:tblOverlap w:val="never"/>
        <w:jc w:val="left"/>
        <w:tblLayout w:type="fixed"/>
      </w:tblPr>
      <w:tblGrid>
        <w:gridCol w:w="1336"/>
        <w:gridCol w:w="907"/>
        <w:gridCol w:w="1368"/>
        <w:gridCol w:w="864"/>
      </w:tblGrid>
      <w:tr>
        <w:trPr>
          <w:trHeight w:val="252"/>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Millions of lb.</w:t>
            </w: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 Millions of lb.</w:t>
            </w:r>
          </w:p>
        </w:tc>
      </w:tr>
      <w:tr>
        <w:trPr>
          <w:trHeight w:val="184"/>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tabs>
                <w:tab w:leader="dot" w:pos="1253" w:val="left"/>
              </w:tabs>
              <w:bidi w:val="0"/>
              <w:spacing w:line="206" w:lineRule="auto"/>
              <w:ind w:left="0" w:firstLine="0"/>
              <w:jc w:val="left"/>
            </w:pPr>
            <w:r>
              <w:rPr>
                <w:spacing w:val="0"/>
                <w:w w:val="100"/>
                <w:position w:val="0"/>
                <w:shd w:val="clear" w:color="auto" w:fill="auto"/>
                <w:lang w:val="en-US" w:eastAsia="en-US" w:bidi="en-US"/>
              </w:rPr>
              <w:t>United Kingdom.. Germany</w:t>
              <w:tab/>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1460∙8</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246" w:val="left"/>
              </w:tabs>
              <w:bidi w:val="0"/>
              <w:spacing w:line="240" w:lineRule="auto"/>
              <w:ind w:left="0" w:firstLine="0"/>
              <w:jc w:val="left"/>
            </w:pPr>
            <w:r>
              <w:rPr>
                <w:spacing w:val="0"/>
                <w:w w:val="100"/>
                <w:position w:val="0"/>
                <w:shd w:val="clear" w:color="auto" w:fill="auto"/>
                <w:lang w:val="en-US" w:eastAsia="en-US" w:bidi="en-US"/>
              </w:rPr>
              <w:t>Spain</w:t>
              <w:tab/>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100∙3</w:t>
            </w:r>
          </w:p>
        </w:tc>
      </w:tr>
      <w:tr>
        <w:trPr>
          <w:trHeight w:val="155"/>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336 ∙9</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95" w:val="left"/>
              </w:tabs>
              <w:bidi w:val="0"/>
              <w:spacing w:line="240" w:lineRule="auto"/>
              <w:ind w:left="0" w:firstLine="0"/>
              <w:jc w:val="left"/>
            </w:pPr>
            <w:r>
              <w:rPr>
                <w:spacing w:val="0"/>
                <w:w w:val="100"/>
                <w:position w:val="0"/>
                <w:shd w:val="clear" w:color="auto" w:fill="auto"/>
                <w:lang w:val="en-US" w:eastAsia="en-US" w:bidi="en-US"/>
              </w:rPr>
              <w:t>Holland</w:t>
              <w:tab/>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94 ∙8</w:t>
            </w:r>
          </w:p>
        </w:tc>
      </w:tr>
      <w:tr>
        <w:trPr>
          <w:trHeight w:val="155"/>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246" w:val="left"/>
              </w:tabs>
              <w:bidi w:val="0"/>
              <w:spacing w:line="240" w:lineRule="auto"/>
              <w:ind w:left="0" w:firstLine="0"/>
              <w:jc w:val="left"/>
            </w:pPr>
            <w:r>
              <w:rPr>
                <w:spacing w:val="0"/>
                <w:w w:val="100"/>
                <w:position w:val="0"/>
                <w:shd w:val="clear" w:color="auto" w:fill="auto"/>
                <w:lang w:val="en-US" w:eastAsia="en-US" w:bidi="en-US"/>
              </w:rPr>
              <w:t xml:space="preserve">France </w:t>
              <w:tab/>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309∙6</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249" w:val="left"/>
              </w:tabs>
              <w:bidi w:val="0"/>
              <w:spacing w:line="240" w:lineRule="auto"/>
              <w:ind w:left="0" w:firstLine="0"/>
              <w:jc w:val="left"/>
            </w:pPr>
            <w:r>
              <w:rPr>
                <w:spacing w:val="0"/>
                <w:w w:val="100"/>
                <w:position w:val="0"/>
                <w:shd w:val="clear" w:color="auto" w:fill="auto"/>
                <w:lang w:val="en-US" w:eastAsia="en-US" w:bidi="en-US"/>
              </w:rPr>
              <w:t>Belgium</w:t>
              <w:tab/>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54·7</w:t>
            </w:r>
          </w:p>
        </w:tc>
      </w:tr>
      <w:tr>
        <w:trPr>
          <w:trHeight w:val="155"/>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249" w:val="left"/>
              </w:tabs>
              <w:bidi w:val="0"/>
              <w:spacing w:line="240" w:lineRule="auto"/>
              <w:ind w:left="0" w:firstLine="0"/>
              <w:jc w:val="left"/>
            </w:pPr>
            <w:r>
              <w:rPr>
                <w:spacing w:val="0"/>
                <w:w w:val="100"/>
                <w:position w:val="0"/>
                <w:shd w:val="clear" w:color="auto" w:fill="auto"/>
                <w:lang w:val="en-US" w:eastAsia="en-US" w:bidi="en-US"/>
              </w:rPr>
              <w:t>Russia</w:t>
              <w:tab/>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242·6</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253" w:val="left"/>
              </w:tabs>
              <w:bidi w:val="0"/>
              <w:spacing w:line="240" w:lineRule="auto"/>
              <w:ind w:left="0" w:firstLine="0"/>
              <w:jc w:val="left"/>
            </w:pPr>
            <w:r>
              <w:rPr>
                <w:spacing w:val="0"/>
                <w:w w:val="100"/>
                <w:position w:val="0"/>
                <w:shd w:val="clear" w:color="auto" w:fill="auto"/>
                <w:lang w:val="en-US" w:eastAsia="en-US" w:bidi="en-US"/>
              </w:rPr>
              <w:t>Switzerland</w:t>
              <w:tab/>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53·8</w:t>
            </w:r>
          </w:p>
        </w:tc>
      </w:tr>
      <w:tr>
        <w:trPr>
          <w:trHeight w:val="155"/>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tabs>
                <w:tab w:leader="dot" w:pos="1249" w:val="left"/>
              </w:tabs>
              <w:bidi w:val="0"/>
              <w:spacing w:line="206" w:lineRule="auto"/>
              <w:ind w:left="0" w:firstLine="0"/>
              <w:jc w:val="left"/>
            </w:pPr>
            <w:r>
              <w:rPr>
                <w:spacing w:val="0"/>
                <w:w w:val="100"/>
                <w:position w:val="0"/>
                <w:shd w:val="clear" w:color="auto" w:fill="auto"/>
                <w:lang w:val="en-US" w:eastAsia="en-US" w:bidi="en-US"/>
              </w:rPr>
              <w:t>Austria-Hungary.. Italy</w:t>
              <w:tab/>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176 ∙6</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249" w:val="left"/>
              </w:tabs>
              <w:bidi w:val="0"/>
              <w:spacing w:line="240" w:lineRule="auto"/>
              <w:ind w:left="0" w:firstLine="0"/>
              <w:jc w:val="left"/>
            </w:pPr>
            <w:r>
              <w:rPr>
                <w:spacing w:val="0"/>
                <w:w w:val="100"/>
                <w:position w:val="0"/>
                <w:shd w:val="clear" w:color="auto" w:fill="auto"/>
                <w:lang w:val="en-US" w:eastAsia="en-US" w:bidi="en-US"/>
              </w:rPr>
              <w:t>Sweden</w:t>
              <w:tab/>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 ∙6</w:t>
            </w:r>
          </w:p>
        </w:tc>
      </w:tr>
      <w:tr>
        <w:trPr>
          <w:trHeight w:val="248"/>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l-GR" w:eastAsia="el-GR" w:bidi="el-GR"/>
              </w:rPr>
              <w:t>116·0</w:t>
            </w: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average import per head of population during the same period was as follows:—United Kingdom, 41·7 lb; Holland, 23·6; Switzerland, 18·7; Belgium, 9·9; France, 8·2; Germany, 8·2 ; Spain, 6·0</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Austria-Hungary, 4·6; Sweden, 4·6; Italy, 4·0 ; Russia, 2·9. It thus appears that Spain occupies the seventh place in the consumption of raw cotton, both in absolute amount and relatively to population. In the five years 1874-78 the average import of raw cotton into Spain was 79,690,000 lb, so that the increase of the average in the succeeding period of five years amounted to 25·8 per cent. Nevertheless the products of this branch of industry in the country do not yet suffice to meet the wants of the population. There is every year a considerable import of cotton manufactures, while the export of this commodity is too trifling to be included in the list of chief exports. The maritime provinces, being those most favourably situated for the import of coal, and, where necessary, of raw material, are the chief seats of Spanish manufactures, and the cotton industry is principally centred in Catalonia and, above all, in Barcelona and the surround</w:t>
        <w:softHyphen/>
        <w:t>ing district. This region is indeed the only distinctively manu</w:t>
        <w:softHyphen/>
        <w:t xml:space="preserve">facturing portion of Spain, and in it also the manufactures of linen and woollen goods and of lace are mainly carried on. Flax- spinning and the manufacture of linen goods are pursued to a considerable extent in Galicia and Asturias. The silk industry, which is likewise of high importance, but inadequate to meet the home demand for silk fabrics, is chiefly centred in Valencia, next to which come Murcia and Seville. Metal industries are chiefly carried on in the Basque Provinces, where various articles in iron and copper are made. A royal factory for the making of artillery and other weapons of war exists at La Trubia, in Asturias. Toledo is still noted, as it has been from the earliest times, for the excellence of its sword-blades. The manufacture of leather, another Spanish industry of old renown, is still extensively carried on in Catalonia and elsewhere, but the making of </w:t>
      </w:r>
      <w:r>
        <w:rPr>
          <w:i/>
          <w:iCs/>
          <w:spacing w:val="0"/>
          <w:w w:val="100"/>
          <w:position w:val="0"/>
          <w:shd w:val="clear" w:color="auto" w:fill="auto"/>
          <w:lang w:val="en-US" w:eastAsia="en-US" w:bidi="en-US"/>
        </w:rPr>
        <w:t>cordwain</w:t>
      </w:r>
      <w:r>
        <w:rPr>
          <w:spacing w:val="0"/>
          <w:w w:val="100"/>
          <w:position w:val="0"/>
          <w:shd w:val="clear" w:color="auto" w:fill="auto"/>
          <w:lang w:val="en-US" w:eastAsia="en-US" w:bidi="en-US"/>
        </w:rPr>
        <w:t xml:space="preserve"> has long ceased to be a specialty of Cordova, from which it takes its name. Boots and shoes and other articles in leather form the only considerable ex</w:t>
        <w:softHyphen/>
        <w:t>port of manufactured goods. Gloves are made in great quantity in Madrid, shoes in the Balearic Islands. The paper industry is very flourishing, especially in Catalonia and Valencia. Esparto is twisted into cords and ropes, and plaited into a variety of other articles, in Murcia and Alicante and elsewhere. The refining of cane-sugar is largely carried on in Barcelona, Malaga, Almeria, and Granada, and</w:t>
      </w:r>
    </w:p>
    <w:p>
      <w:pPr>
        <w:pStyle w:val="Style11"/>
        <w:keepNext w:val="0"/>
        <w:keepLines w:val="0"/>
        <w:widowControl w:val="0"/>
        <w:shd w:val="clear" w:color="auto" w:fill="auto"/>
        <w:tabs>
          <w:tab w:pos="245" w:val="left"/>
        </w:tabs>
        <w:bidi w:val="0"/>
        <w:spacing w:line="194"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ab/>
        <w:t>A metric ton=1000 kilogrammes=2205 lbs., or 35 lbs. less than a ton avoirdupois.</w:t>
      </w:r>
    </w:p>
    <w:p>
      <w:pPr>
        <w:pStyle w:val="Style11"/>
        <w:keepNext w:val="0"/>
        <w:keepLines w:val="0"/>
        <w:widowControl w:val="0"/>
        <w:shd w:val="clear" w:color="auto" w:fill="auto"/>
        <w:tabs>
          <w:tab w:pos="248" w:val="left"/>
        </w:tabs>
        <w:bidi w:val="0"/>
        <w:spacing w:line="194"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ab/>
        <w:t>Exclusive of 100,000 tons produced in the state salt works of Torrevieja (Alicante).</w:t>
      </w:r>
    </w:p>
    <w:p>
      <w:pPr>
        <w:pStyle w:val="Style11"/>
        <w:keepNext w:val="0"/>
        <w:keepLines w:val="0"/>
        <w:widowControl w:val="0"/>
        <w:shd w:val="clear" w:color="auto" w:fill="auto"/>
        <w:tabs>
          <w:tab w:pos="230" w:val="left"/>
        </w:tabs>
        <w:bidi w:val="0"/>
        <w:spacing w:line="218" w:lineRule="auto"/>
        <w:ind w:left="0" w:firstLine="36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ab/>
        <w:t>Of this total 478,000 tons were exported to Holland, 142,000 to Belgium, and 199,000 to the United States.</w:t>
      </w:r>
    </w:p>
    <w:p>
      <w:pPr>
        <w:pStyle w:val="Style11"/>
        <w:keepNext w:val="0"/>
        <w:keepLines w:val="0"/>
        <w:widowControl w:val="0"/>
        <w:shd w:val="clear" w:color="auto" w:fill="auto"/>
        <w:tabs>
          <w:tab w:pos="248" w:val="left"/>
        </w:tabs>
        <w:bidi w:val="0"/>
        <w:spacing w:line="218" w:lineRule="auto"/>
        <w:ind w:left="0" w:firstLine="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ab/>
        <w:t>All the blende and one-third of the calamine were exported to Belgium.</w:t>
      </w:r>
    </w:p>
    <w:p>
      <w:pPr>
        <w:pStyle w:val="Style11"/>
        <w:keepNext w:val="0"/>
        <w:keepLines w:val="0"/>
        <w:widowControl w:val="0"/>
        <w:shd w:val="clear" w:color="auto" w:fill="auto"/>
        <w:tabs>
          <w:tab w:pos="252" w:val="left"/>
        </w:tabs>
        <w:bidi w:val="0"/>
        <w:spacing w:line="218" w:lineRule="auto"/>
        <w:ind w:left="0" w:firstLine="0"/>
        <w:jc w:val="left"/>
      </w:pP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ab/>
        <w:t>Chiefly to Portugal.</w:t>
      </w:r>
    </w:p>
    <w:p>
      <w:pPr>
        <w:pStyle w:val="Style11"/>
        <w:keepNext w:val="0"/>
        <w:keepLines w:val="0"/>
        <w:widowControl w:val="0"/>
        <w:shd w:val="clear" w:color="auto" w:fill="auto"/>
        <w:bidi w:val="0"/>
        <w:spacing w:line="218" w:lineRule="auto"/>
        <w:ind w:left="0" w:firstLine="0"/>
        <w:jc w:val="left"/>
      </w:pP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Of this total 158,760 lbs. were exported to Belgium.</w:t>
      </w:r>
    </w:p>
    <w:p>
      <w:pPr>
        <w:pStyle w:val="Style11"/>
        <w:keepNext w:val="0"/>
        <w:keepLines w:val="0"/>
        <w:widowControl w:val="0"/>
        <w:shd w:val="clear" w:color="auto" w:fill="auto"/>
        <w:bidi w:val="0"/>
        <w:spacing w:line="202" w:lineRule="auto"/>
        <w:ind w:left="0" w:firstLine="0"/>
        <w:jc w:val="left"/>
        <w:rPr>
          <w:sz w:val="13"/>
          <w:szCs w:val="13"/>
        </w:rPr>
      </w:pPr>
      <w:r>
        <w:rPr>
          <w:spacing w:val="0"/>
          <w:w w:val="100"/>
          <w:position w:val="0"/>
          <w:sz w:val="13"/>
          <w:szCs w:val="13"/>
          <w:shd w:val="clear" w:color="auto" w:fill="auto"/>
          <w:vertAlign w:val="superscript"/>
          <w:lang w:val="en-US" w:eastAsia="en-US" w:bidi="en-US"/>
        </w:rPr>
        <w:t>@@@7</w:t>
      </w:r>
      <w:r>
        <w:rPr>
          <w:spacing w:val="0"/>
          <w:w w:val="100"/>
          <w:position w:val="0"/>
          <w:sz w:val="13"/>
          <w:szCs w:val="13"/>
          <w:shd w:val="clear" w:color="auto" w:fill="auto"/>
          <w:lang w:val="en-US" w:eastAsia="en-US" w:bidi="en-US"/>
        </w:rPr>
        <w:t xml:space="preserve"> Chiefly to Cuba.</w:t>
      </w:r>
    </w:p>
    <w:p>
      <w:pPr>
        <w:widowControl w:val="0"/>
        <w:spacing w:line="1" w:lineRule="exact"/>
      </w:pPr>
    </w:p>
    <w:sectPr>
      <w:footnotePr>
        <w:pos w:val="pageBottom"/>
        <w:numFmt w:val="decimal"/>
        <w:numRestart w:val="continuous"/>
      </w:footnotePr>
      <w:type w:val="continuous"/>
      <w:pgSz w:w="12240" w:h="16840"/>
      <w:pgMar w:top="1435" w:left="1602" w:right="1249" w:bottom="14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Other (2)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12">
    <w:name w:val="Body text_"/>
    <w:basedOn w:val="DefaultParagraphFont"/>
    <w:link w:val="Style11"/>
    <w:rPr>
      <w:rFonts w:ascii="Times New Roman" w:eastAsia="Times New Roman" w:hAnsi="Times New Roman" w:cs="Times New Roman"/>
      <w:b w:val="0"/>
      <w:bCs w:val="0"/>
      <w:i w:val="0"/>
      <w:iCs w:val="0"/>
      <w:smallCaps w:val="0"/>
      <w:strike w:val="0"/>
      <w:color w:val="534631"/>
      <w:sz w:val="12"/>
      <w:szCs w:val="12"/>
      <w:u w:val="none"/>
    </w:rPr>
  </w:style>
  <w:style w:type="paragraph" w:customStyle="1" w:styleId="Style2">
    <w:name w:val="Other (2)"/>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6">
    <w:name w:val="Body text (5)"/>
    <w:basedOn w:val="Normal"/>
    <w:link w:val="CharStyle7"/>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styleId="Style11">
    <w:name w:val="Body text"/>
    <w:basedOn w:val="Normal"/>
    <w:link w:val="CharStyle12"/>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534631"/>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