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(ɐ)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hears it in E dung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n, moti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n, consci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s, aban</w:t>
        <w:softHyphen/>
        <w:t>d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n, hon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r, bell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ow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s. E. hears it in these syllables and in E p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rent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l, cap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ble, c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pacious, Chin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and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ga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b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e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Sw. and Sv. hear (ǝ) in all these cases.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178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Æ. (æ, æh).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199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(æ)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 34,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t, almost peculiarly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199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(æh) V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36.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hears it as a Cockney substitute for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ou,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ow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ow,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E., a born Londoner, does not know. Sv. finds it to be “ open ”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ö,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see (y).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524" w:val="left"/>
        </w:tabs>
        <w:bidi w:val="0"/>
        <w:spacing w:line="18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B.</w:t>
        <w:tab/>
        <w:t>(b bh brh, b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bh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b).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(b) S 7 g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 ii 13, art. 8, </w:t>
      </w:r>
      <w:r>
        <w:rPr>
          <w:rStyle w:val="CharStyle11"/>
          <w:smallCaps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ee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bb.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(bh) S 5g, C iv 12,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lips flat, not touching teeth, see (ph), (brh) C vi 13, used by Germans to stop horses, as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wo!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in England. (b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 C ii 12, sonant of (p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), which see, theoretical.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(bh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S 6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sonant of (ph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), which see, theoretical.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(b)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Cii 11, sonant of (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), which see, theoretical.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531" w:val="left"/>
        </w:tabs>
        <w:bidi w:val="0"/>
        <w:spacing w:line="185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C.</w:t>
        <w:tab/>
        <w:t>(ɔ ɔh, ɔ'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ç çh,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ç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ç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h).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09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ɔ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V12, T ll, E knot, almost peculiarly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replaced on the Continent by (o, oh,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h), which see.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09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(ɔh) V 24. B. calls it an advanced (ɔ), that is (,ɔ), and hears it as regular short Irish-English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Cockney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sk, American Chicago. Sw. hears it in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swd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n. Sv. gives no example. E. does not know it.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09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(ɔ'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art. 7 i, diphthong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l, by some taken as (</w:t>
      </w:r>
      <w:r>
        <w:rPr>
          <w:rStyle w:val="CharStyle11"/>
          <w:smallCaps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'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09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(ç)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reverted (s), the under part of the point of the tongue against the palate. St.@@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hears it in East Norwegian börse and also in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swd.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09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(çh)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reverted (sh),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sn.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τj, the under part of the point of the tongue against the palate, but lower than for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(ç)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pointing further back, see (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ɟ).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09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(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ç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buzz of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(ç),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theoretical.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09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(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ç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reverted (zh), buzz of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(çh),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see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(dj).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549" w:val="left"/>
        </w:tabs>
        <w:bidi w:val="0"/>
        <w:spacing w:line="18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D.</w:t>
        <w:tab/>
        <w:t>(d d</w:t>
      </w:r>
      <w:r>
        <w:rPr>
          <w:rStyle w:val="CharStyle7"/>
        </w:rPr>
        <w:t>ɟ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dh dj,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d, dh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z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d d</w:t>
      </w:r>
      <w:r>
        <w:rPr>
          <w:rStyle w:val="CharStyle7"/>
        </w:rPr>
        <w:t>ɟ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Dh, b bj).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500" w:val="left"/>
        </w:tabs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(d)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 7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C ii 8,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doe,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sonant of (t), which see.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76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(dɟ) art. 12, 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judging,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consonantal diphthong = (djzhj), usually assumed as (dzh), and also as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sn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ςT, for which see (gɟ), and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Lepsius thinks was also once (gɟ).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76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(dh) S 5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Civ 10,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then,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δ,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j, buzz of (th), see (dh,).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76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(dj) C ii 6, Hungarian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οn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pearl, art. 12.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(,d) S 7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 ii 9,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d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oux,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tip of tongue against gums, used in some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midland and northern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dialects before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-er.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40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(dh,) C iv 10,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lisped (z), retracted (dh).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40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(d)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aad), described by Lepsius as close emphatic (.,1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), see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t, z)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especially (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500" w:val="left"/>
        </w:tabs>
        <w:bidi w:val="0"/>
        <w:ind w:left="360" w:hanging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(d)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C ii 7, reverted or cerebral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common in south-west Eng</w:t>
        <w:softHyphen/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land, in connexion with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(r),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see, by some taken to be retracted (d,), parent of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(d).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(d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ɟ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reverted consonantal diphthong =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(d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ç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h),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heard in Wilt</w:t>
        <w:softHyphen/>
        <w:t xml:space="preserve">shire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(Ǝrd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ɟ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ridge.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h) reverted (dh), under part of point of tongue against teeth, theoretical.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(Ù)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Irish Gaelic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air, an oak, “ broad ” post-aspirated sonant.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place of tip of tongue unimportant, but generally taken as dental or interdental. Essential points, tongue laterally expanded and slack, back raised, leaving a hollow “front.” Followed by a slow voice glide, resembling a preponderating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(sh) mixed with (gh). This glide, occur</w:t>
        <w:softHyphen/>
        <w:t xml:space="preserve">ring between a sonant and a vowel, is closer at first than for an ordinary buzz and then more open. Constantly used for (dh) by Irish speakers of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 [Lecky, MS. communi</w:t>
        <w:softHyphen/>
        <w:t>cation.]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(ιj) Irish Gaelic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eas, palatalized or slender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(ÎJ)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; glide from it like preponderating (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 mixed with (z). [Lecky, MS. communication. ]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549" w:val="left"/>
        </w:tabs>
        <w:bidi w:val="0"/>
        <w:spacing w:line="18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E.</w:t>
        <w:tab/>
        <w:t xml:space="preserve">(e eΛ,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e, </w:t>
      </w:r>
      <w:r>
        <w:rPr>
          <w:smallCaps/>
          <w:spacing w:val="0"/>
          <w:w w:val="100"/>
          <w:position w:val="0"/>
          <w:shd w:val="clear" w:color="auto" w:fill="auto"/>
          <w:lang w:val="la-001" w:eastAsia="la-001" w:bidi="la-001"/>
        </w:rPr>
        <w:t>e,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ǝ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ǝh, ǝ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ǝ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eh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, ǝ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Style w:val="CharStyle7"/>
          <w:smallCaps/>
        </w:rPr>
        <w:t>Ǝ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Style w:val="CharStyle7"/>
          <w:smallCaps/>
        </w:rPr>
        <w:t>Ǝ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'o).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500" w:val="left"/>
        </w:tabs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(e)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 30, T 4,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net,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medial between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it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close and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open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e),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often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(e)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dialectal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B. hears it only long in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there. Sw. gives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père,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E. hears with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(ee).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Sv. gives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men,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g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männer,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äh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re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dn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tr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æ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LLB. hears it always and only in unaccented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it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syllables.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e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λ)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art. 11, orinasal,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conventional symbol.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(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 29, T 3,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 de',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eh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re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B. says it is found in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always and only in the vanish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’j), art. 6 ; but E. hears the vanish from received speakers only in the pause, otherwise he fre</w:t>
        <w:softHyphen/>
        <w:t>quently hears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 without vanish. Sw., Sv., and St. do not admit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in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without vanish.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(e)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 33, T 5. B. considers it the regular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sound in net, see (e).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hears it long in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g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spräche,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f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bete,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it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open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Sw. hears it in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ι.s men,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v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(veλ). Sv.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also in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dn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ä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ra.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ǝ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 17, T 20. E. hears it in his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t, which B. wrote (nƎt) from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3"/>
          <w:szCs w:val="13"/>
        </w:rPr>
      </w:pPr>
      <w:r>
        <w:rPr>
          <w:i w:val="0"/>
          <w:iCs w:val="0"/>
          <w:color w:val="766A4F"/>
          <w:spacing w:val="0"/>
          <w:w w:val="100"/>
          <w:position w:val="0"/>
          <w:sz w:val="13"/>
          <w:szCs w:val="13"/>
          <w:shd w:val="clear" w:color="auto" w:fill="auto"/>
          <w:vertAlign w:val="superscript"/>
          <w:lang w:val="en-US" w:eastAsia="en-US" w:bidi="en-US"/>
        </w:rPr>
        <w:t>@@@1</w:t>
      </w:r>
      <w:r>
        <w:rPr>
          <w:color w:val="766A4F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766A4F"/>
          <w:spacing w:val="0"/>
          <w:w w:val="100"/>
          <w:position w:val="0"/>
          <w:sz w:val="13"/>
          <w:szCs w:val="13"/>
          <w:shd w:val="clear" w:color="auto" w:fill="auto"/>
        </w:rPr>
        <w:t>Englische Philologie :</w:t>
      </w:r>
      <w:r>
        <w:rPr>
          <w:i w:val="0"/>
          <w:iCs w:val="0"/>
          <w:color w:val="766A4F"/>
          <w:spacing w:val="0"/>
          <w:w w:val="100"/>
          <w:position w:val="0"/>
          <w:sz w:val="13"/>
          <w:szCs w:val="13"/>
          <w:shd w:val="clear" w:color="auto" w:fill="auto"/>
        </w:rPr>
        <w:t xml:space="preserve"> I. </w:t>
      </w:r>
      <w:r>
        <w:rPr>
          <w:color w:val="766A4F"/>
          <w:spacing w:val="0"/>
          <w:w w:val="100"/>
          <w:position w:val="0"/>
          <w:sz w:val="13"/>
          <w:szCs w:val="13"/>
          <w:shd w:val="clear" w:color="auto" w:fill="auto"/>
        </w:rPr>
        <w:t>Die lebende Sprache,</w:t>
      </w:r>
      <w:r>
        <w:rPr>
          <w:i w:val="0"/>
          <w:iCs w:val="0"/>
          <w:color w:val="766A4F"/>
          <w:spacing w:val="0"/>
          <w:w w:val="100"/>
          <w:position w:val="0"/>
          <w:sz w:val="13"/>
          <w:szCs w:val="13"/>
          <w:shd w:val="clear" w:color="auto" w:fill="auto"/>
        </w:rPr>
        <w:t xml:space="preserve"> p. </w:t>
      </w:r>
      <w:r>
        <w:rPr>
          <w:i w:val="0"/>
          <w:iCs w:val="0"/>
          <w:color w:val="766A4F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42,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E.’s dictation ; many think (Ǝ,ǝ) are used respectively in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accented and unaccented syllables where E. hears (ǝ, ɐ), and he is very familiar with (a) in dialects. Sv. gives “stage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g”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gab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e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dn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normal gav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swd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goss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(ǝh) V 21. Sw. gives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bird, where E hears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ǝ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).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B. heard it only in Somerset s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 and Cockney p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nny ; the whole effect of the first appears to E. due to Somerset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(r),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second he does not know.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(ǝ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intermediate between (ǝ)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), written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ú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Mr Elworthy’s West-Somerset grammar, a very common and characteristic sound in the dialect, but difficult and strange beyond it.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(ǝ) V 31, T 17,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eu,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p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eu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B. hears it in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û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b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û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in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E. hears it long in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g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h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öh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le.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Sv. says the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g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sound is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(œœ),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not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ǝǝ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), see (y).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(ǝh) V 35. B. hears it long in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f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r,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g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sch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ö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&amp;c., short in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j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eu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ne,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g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st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ö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cke.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E. hears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ǝǝ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in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sch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ö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(œ)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the rest. See Sv. in (y).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ǝ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 intermediate between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ǝ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and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(œ),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common west Somerset sound ; possibly Sv.’s “open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g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ü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.”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See under (y).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(Ǝ) V 5, T 21. B. hears it in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ne, y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p, t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pence, where it sounds dialectal to E., who hears (ǝ), which see.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(Ǝ'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art. 7 ix, acute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inchoant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diphthong.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F. (f, ɟ).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82" w:val="left"/>
        </w:tabs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(f)</w:t>
        <w:tab/>
        <w:t xml:space="preserve">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 iii 1,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e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eel, lower lip against upper teeth.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82" w:val="left"/>
        </w:tabs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Style w:val="CharStyle11"/>
        </w:rPr>
        <w:t>ɟ)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a turned f, a modifier, laxly used ; see mute and sonant (k</w:t>
      </w:r>
      <w:r>
        <w:rPr>
          <w:rStyle w:val="CharStyle11"/>
        </w:rPr>
        <w:t>ɟ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g</w:t>
      </w:r>
      <w:r>
        <w:rPr>
          <w:rStyle w:val="CharStyle11"/>
        </w:rPr>
        <w:t>ɟ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lateral flap (l</w:t>
      </w:r>
      <w:r>
        <w:rPr>
          <w:rStyle w:val="CharStyle11"/>
        </w:rPr>
        <w:t>ɟ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), nasals (n</w:t>
      </w:r>
      <w:r>
        <w:rPr>
          <w:rStyle w:val="CharStyle11"/>
        </w:rPr>
        <w:t>ɟ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d</w:t>
      </w:r>
      <w:r>
        <w:rPr>
          <w:rStyle w:val="CharStyle11"/>
        </w:rPr>
        <w:t>ɟ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 and consonant diphthongs (t</w:t>
      </w:r>
      <w:r>
        <w:rPr>
          <w:rStyle w:val="CharStyle11"/>
        </w:rPr>
        <w:t>ɟ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</w:t>
      </w:r>
      <w:r>
        <w:rPr>
          <w:rStyle w:val="CharStyle11"/>
        </w:rPr>
        <w:t>ɟ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rStyle w:val="CharStyle11"/>
        </w:rPr>
        <w:t>ɟ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Style w:val="CharStyle11"/>
        </w:rPr>
        <w:t>ɟ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).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522" w:val="left"/>
        </w:tabs>
        <w:bidi w:val="0"/>
        <w:spacing w:line="18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G.</w:t>
        <w:tab/>
        <w:t>(g gɟ gh gj gjh grh g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h,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g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h).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82" w:val="left"/>
        </w:tabs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(g)</w:t>
        <w:tab/>
        <w:t xml:space="preserve">S 7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 ii 3, art. 8,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ape,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egg.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82" w:val="left"/>
          <w:tab w:pos="3362" w:val="center"/>
          <w:tab w:pos="3607" w:val="center"/>
          <w:tab w:pos="3920" w:val="center"/>
          <w:tab w:pos="4226" w:val="center"/>
        </w:tabs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(g</w:t>
      </w:r>
      <w:r>
        <w:rPr>
          <w:rStyle w:val="CharStyle11"/>
        </w:rPr>
        <w:t>ɟ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  <w:tab/>
        <w:t xml:space="preserve">S 7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b, 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 5,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sn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∑Γ sonant of (k</w:t>
      </w:r>
      <w:r>
        <w:rPr>
          <w:rStyle w:val="CharStyle11"/>
        </w:rPr>
        <w:t>ɟ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), which</w:t>
        <w:tab/>
        <w:t>see,</w:t>
        <w:tab/>
        <w:t>and</w:t>
        <w:tab/>
        <w:t>also</w:t>
        <w:tab/>
        <w:t>(d</w:t>
      </w:r>
      <w:r>
        <w:rPr>
          <w:rStyle w:val="CharStyle11"/>
        </w:rPr>
        <w:t>ɟ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82" w:val="left"/>
          <w:tab w:pos="3729" w:val="center"/>
          <w:tab w:pos="4010" w:val="center"/>
          <w:tab w:pos="4529" w:val="right"/>
        </w:tabs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(gh)</w:t>
        <w:tab/>
        <w:t xml:space="preserve">S 5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C iv 3, mid 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G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ta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g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buzz of (kh), which</w:t>
        <w:tab/>
        <w:t>see,</w:t>
        <w:tab/>
        <w:t>and</w:t>
        <w:tab/>
        <w:t>also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(gjh, g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(gj) C ii 4,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it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la g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anda, sonant of (kj), which see, formerly common in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before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(a, æ),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g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arrison, now generally preserved in girl, even in the vulgar form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(gjæl).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(gjh) C iv 4, mid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g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siege, buzz of (kjh), which see, confused by Germans themselves with </w:t>
      </w:r>
      <w:r>
        <w:rPr>
          <w:b/>
          <w:bCs/>
          <w:smallCap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(j),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palatalized (gh).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(grh) C vi 3,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(grháin), or (gh) with the uvula slightly trilled,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frequent Dutch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γ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before (a, o, u) in a mild form ; Lepsius takes the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sound to be (</w:t>
      </w:r>
      <w:r>
        <w:rPr>
          <w:rStyle w:val="CharStyle11"/>
          <w:smallCaps/>
          <w:lang w:val="fr-FR" w:eastAsia="fr-FR" w:bidi="fr-FR"/>
        </w:rPr>
        <w:t>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h), which see.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(g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art. 12, C ii 2,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ano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sonant of (k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), which see ; the posi</w:t>
        <w:softHyphen/>
        <w:t>tions for (g) and (w) are assumed at the same time.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(g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h) C iv 2,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g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auge,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fu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g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sonant of (k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h), which see ; labialized (gh) after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(u).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82" w:val="left"/>
        </w:tabs>
        <w:bidi w:val="0"/>
        <w:ind w:left="360" w:hanging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(g)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C ii 1, sonant of (</w:t>
      </w:r>
      <w:r>
        <w:rPr>
          <w:rStyle w:val="CharStyle11"/>
          <w:smallCaps/>
          <w:lang w:val="fr-FR" w:eastAsia="fr-FR" w:bidi="fr-FR"/>
        </w:rPr>
        <w:t>k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), which see, theoretical.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h) buzz of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(g),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see above under (grh).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544" w:val="left"/>
        </w:tabs>
        <w:bidi w:val="0"/>
        <w:spacing w:line="18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H.</w:t>
        <w:tab/>
        <w:t xml:space="preserve">(h ‘h 'h 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Style w:val="CharStyle7"/>
          <w:smallCaps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Style w:val="CharStyle7"/>
          <w:smallCaps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lh).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82" w:val="left"/>
        </w:tabs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(h)</w:t>
        <w:tab/>
        <w:t>when no letter, and, at most, some sign precedes, used for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unanalysed physem, art. 5 ; after a letter very laxly used as a modifier of vowels (ah oh), and consonantal hisses or buzzes (th dh sh zh kh gh), &amp;c.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('h) simple flatus, the (h) omitted when another letter precedes, as in the recoil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(hæp‘)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hap, art. 8.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('h) the crudest voice producible, opposed to ('h), the (h) omitted in the voiced recoil (ded') dead, art. 8, and in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, '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m, 'n, 'r) syllabic.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(+h) smack or click, art. 2, (1), the (h) is omitted after consonants showing the clicking parts, as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(k+,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tj+, tj§+, t+,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+) guttural, palatal, unilateral, dental, and reverted click, see the turned numerals (8 4 7 5 2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are used for brevity.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82" w:val="left"/>
        </w:tabs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  <w:tab/>
        <w:t xml:space="preserve">art. 5, physem (2), the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^(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aa), or “wheeze.”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82" w:val="left"/>
        </w:tabs>
        <w:bidi w:val="0"/>
        <w:ind w:left="360" w:hanging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(h)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art. 5, physem (1), the “jerk” or unflated aspirate, used as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post-aspirate after Indian sonants, as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(b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ǝ).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40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Style w:val="CharStyle11"/>
        </w:rPr>
        <w:t>lh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jerked flatus with gradual glottid, art. 5, physem (1), the usual aspirate of Scotland and Germany, and the Indian post-aspirate after mutes, thus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sn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Tq VJ Tfi are (k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lh, t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lh, (p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hl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h), usually written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kh, th, ph,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but not to be confused with the palaeotype (kh, th, ph).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544" w:val="left"/>
        </w:tabs>
        <w:bidi w:val="0"/>
        <w:spacing w:line="178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I.</w:t>
        <w:tab/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ĭa iiɹ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 íi,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Style w:val="CharStyle7"/>
          <w:smallCaps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82" w:val="left"/>
        </w:tabs>
        <w:bidi w:val="0"/>
        <w:spacing w:line="19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(i)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 25, T1, short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(very different from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fill), long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feel, (</w:t>
      </w:r>
      <w:r>
        <w:rPr>
          <w:rStyle w:val="CharStyle11"/>
        </w:rPr>
        <w:t>ĭ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a) art. 7 iv, typical initial weak (i) diphthong, often confused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with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(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a).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Style w:val="CharStyle11"/>
        </w:rPr>
        <w:t>iiɹ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 art. 7 vii, typical murmur diphthong with following per</w:t>
        <w:softHyphen/>
        <w:t>missive trill.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82" w:val="left"/>
        </w:tabs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(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i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)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 26, T 2,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t, almost peculiarly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Icelandic, but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often heard in Germany ; long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(ii) is often replaced by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), especially before and after (r) and in singing.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82" w:val="left"/>
        </w:tabs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í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i)</w:t>
        <w:tab/>
        <w:t xml:space="preserve">art. 7 ix, typical grave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inchoant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diphthong.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(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 27. B. hears it in </w:t>
      </w: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g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ü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ber, gl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ü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ck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Sw. in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ne, where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B.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hears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(y)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E. inclines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(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) in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Sv. thinks differ</w:t>
        <w:softHyphen/>
        <w:t xml:space="preserve">ently, see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(y).</w:t>
      </w:r>
    </w:p>
    <w:sectPr>
      <w:footnotePr>
        <w:pos w:val="pageBottom"/>
        <w:numFmt w:val="decimal"/>
        <w:numRestart w:val="continuous"/>
      </w:footnotePr>
      <w:pgSz w:w="12240" w:h="16840"/>
      <w:pgMar w:top="1359" w:left="1490" w:right="1376" w:bottom="1359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6)_"/>
    <w:basedOn w:val="DefaultParagraphFont"/>
    <w:link w:val="Style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534631"/>
      <w:sz w:val="14"/>
      <w:szCs w:val="14"/>
      <w:u w:val="none"/>
      <w:lang w:val="de-DE" w:eastAsia="de-DE" w:bidi="de-DE"/>
    </w:rPr>
  </w:style>
  <w:style w:type="character" w:customStyle="1" w:styleId="CharStyle7">
    <w:name w:val="Body text (5)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6"/>
      <w:szCs w:val="16"/>
      <w:u w:val="none"/>
    </w:rPr>
  </w:style>
  <w:style w:type="character" w:customStyle="1" w:styleId="CharStyle11">
    <w:name w:val="Body text (4)_"/>
    <w:basedOn w:val="DefaultParagraphFont"/>
    <w:link w:val="Style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8"/>
      <w:szCs w:val="18"/>
      <w:u w:val="none"/>
    </w:rPr>
  </w:style>
  <w:style w:type="paragraph" w:customStyle="1" w:styleId="Style2">
    <w:name w:val="Body text (6)"/>
    <w:basedOn w:val="Normal"/>
    <w:link w:val="CharStyle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534631"/>
      <w:sz w:val="14"/>
      <w:szCs w:val="14"/>
      <w:u w:val="none"/>
      <w:lang w:val="de-DE" w:eastAsia="de-DE" w:bidi="de-DE"/>
    </w:rPr>
  </w:style>
  <w:style w:type="paragraph" w:customStyle="1" w:styleId="Style6">
    <w:name w:val="Body text (5)"/>
    <w:basedOn w:val="Normal"/>
    <w:link w:val="CharStyle7"/>
    <w:pPr>
      <w:widowControl w:val="0"/>
      <w:shd w:val="clear" w:color="auto" w:fill="FFFFFF"/>
      <w:spacing w:line="202" w:lineRule="auto"/>
      <w:ind w:firstLine="22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6"/>
      <w:szCs w:val="16"/>
      <w:u w:val="none"/>
    </w:rPr>
  </w:style>
  <w:style w:type="paragraph" w:customStyle="1" w:styleId="Style10">
    <w:name w:val="Body text (4)"/>
    <w:basedOn w:val="Normal"/>
    <w:link w:val="CharStyle11"/>
    <w:pPr>
      <w:widowControl w:val="0"/>
      <w:shd w:val="clear" w:color="auto" w:fill="FFFFFF"/>
      <w:spacing w:line="223" w:lineRule="auto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