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deny its existence, and the former attributes Kent’s observations to error. One constant character they do possess : they are provided with flagella at some stage of their existence, but never with cilia. Ciliated cells, in</w:t>
        <w:softHyphen/>
        <w:t>deed, are unknown amongst the sponges, and, when pinna</w:t>
        <w:softHyphen/>
        <w:t xml:space="preserve">cocytes exceptionally acquire vibratile filaments, as in </w:t>
      </w:r>
      <w:r>
        <w:rPr>
          <w:i/>
          <w:iCs/>
          <w:spacing w:val="0"/>
          <w:w w:val="100"/>
          <w:position w:val="0"/>
          <w:shd w:val="clear" w:color="auto" w:fill="auto"/>
          <w:lang w:val="en-US" w:eastAsia="en-US" w:bidi="en-US"/>
        </w:rPr>
        <w:t>Oscarella</w:t>
      </w:r>
      <w:r>
        <w:rPr>
          <w:spacing w:val="0"/>
          <w:w w:val="100"/>
          <w:position w:val="0"/>
          <w:shd w:val="clear" w:color="auto" w:fill="auto"/>
          <w:lang w:val="en-US" w:eastAsia="en-US" w:bidi="en-US"/>
        </w:rPr>
        <w:t xml:space="preserve"> and other sponges, these are invariably flagella, never cilia. An Ascon stage having been reached at some point in the history of the sponges, the Sycon tubes and Rhagon chambers would arise from it by the active pro</w:t>
        <w:softHyphen/>
        <w:t xml:space="preserve">liferation of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about regularly distributed centres, possibly as a result of generous feeding. Vosmaer recog</w:t>
        <w:softHyphen/>
        <w:t>nized as the physiological cause of Sycon an extension of the choanocytal layer. Polejaeff, relying on Von Lenden</w:t>
        <w:softHyphen/>
        <w:t xml:space="preserve">feld’s experiments, which seem to prove that it is the pinnacocytes and not the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which are concerned in the ingestion of nutriment, argues that, as in Sycon the pinnacocytal layer is increased relatively to the choano</w:t>
        <w:softHyphen/>
        <w:t xml:space="preserve">cytal, we have in this a true explanation of the transition. The existence of </w:t>
      </w:r>
      <w:r>
        <w:rPr>
          <w:i/>
          <w:iCs/>
          <w:spacing w:val="0"/>
          <w:w w:val="100"/>
          <w:position w:val="0"/>
          <w:shd w:val="clear" w:color="auto" w:fill="auto"/>
          <w:lang w:val="en-US" w:eastAsia="en-US" w:bidi="en-US"/>
        </w:rPr>
        <w:t>Homoderma,</w:t>
      </w:r>
      <w:r>
        <w:rPr>
          <w:spacing w:val="0"/>
          <w:w w:val="100"/>
          <w:position w:val="0"/>
          <w:shd w:val="clear" w:color="auto" w:fill="auto"/>
          <w:lang w:val="en-US" w:eastAsia="en-US" w:bidi="en-US"/>
        </w:rPr>
        <w:t xml:space="preserve"> Lfd., however, shows that in the first stage there was not a replacement of </w:t>
      </w:r>
      <w:r>
        <w:rPr>
          <w:spacing w:val="0"/>
          <w:w w:val="100"/>
          <w:position w:val="0"/>
          <w:shd w:val="clear" w:color="auto" w:fill="auto"/>
          <w:lang w:val="fr-FR" w:eastAsia="fr-FR" w:bidi="fr-FR"/>
        </w:rPr>
        <w:t>choano</w:t>
        <w:softHyphen/>
        <w:t xml:space="preserve">cytes </w:t>
      </w:r>
      <w:r>
        <w:rPr>
          <w:spacing w:val="0"/>
          <w:w w:val="100"/>
          <w:position w:val="0"/>
          <w:shd w:val="clear" w:color="auto" w:fill="auto"/>
          <w:lang w:val="en-US" w:eastAsia="en-US" w:bidi="en-US"/>
        </w:rPr>
        <w:t>by pinnacocytes, but that this was a secondary change, following the development of radial tubes, and therefore cannot be relied upon to explain them. The radial tubes having been formed by a proliferation of choanocytal cells, the reduction of those lining the para</w:t>
        <w:softHyphen/>
        <w:t xml:space="preserve">gastric cavity to pinnacocytes would follow in consequence of the poisonous character of the water delivered from the radial tubes to the central cavity, since this water not only parts with its dissolved oxygen to the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 xml:space="preserve">it first encounters, but receives from them in exchange urea, carbonic acid, and </w:t>
      </w:r>
      <w:r>
        <w:rPr>
          <w:spacing w:val="0"/>
          <w:w w:val="100"/>
          <w:position w:val="0"/>
          <w:shd w:val="clear" w:color="auto" w:fill="auto"/>
          <w:lang w:val="fr-FR" w:eastAsia="fr-FR" w:bidi="fr-FR"/>
        </w:rPr>
        <w:t xml:space="preserve">fæcal </w:t>
      </w:r>
      <w:r>
        <w:rPr>
          <w:spacing w:val="0"/>
          <w:w w:val="100"/>
          <w:position w:val="0"/>
          <w:shd w:val="clear" w:color="auto" w:fill="auto"/>
          <w:lang w:val="en-US" w:eastAsia="en-US" w:bidi="en-US"/>
        </w:rPr>
        <w:t xml:space="preserve">residues. The development of </w:t>
      </w:r>
      <w:r>
        <w:rPr>
          <w:spacing w:val="0"/>
          <w:w w:val="100"/>
          <w:position w:val="0"/>
          <w:shd w:val="clear" w:color="auto" w:fill="auto"/>
          <w:lang w:val="de-DE" w:eastAsia="de-DE" w:bidi="de-DE"/>
        </w:rPr>
        <w:t xml:space="preserve">subdermal </w:t>
      </w:r>
      <w:r>
        <w:rPr>
          <w:spacing w:val="0"/>
          <w:w w:val="100"/>
          <w:position w:val="0"/>
          <w:shd w:val="clear" w:color="auto" w:fill="auto"/>
          <w:lang w:val="en-US" w:eastAsia="en-US" w:bidi="en-US"/>
        </w:rPr>
        <w:t>cavities is explicable on Von Lendenfeld’s hypothesis.</w:t>
      </w:r>
    </w:p>
    <w:p>
      <w:pPr>
        <w:pStyle w:val="Style2"/>
        <w:keepNext w:val="0"/>
        <w:keepLines w:val="0"/>
        <w:widowControl w:val="0"/>
        <w:shd w:val="clear" w:color="auto" w:fill="auto"/>
        <w:bidi w:val="0"/>
        <w:spacing w:line="226" w:lineRule="auto"/>
        <w:ind w:left="0" w:firstLine="0"/>
        <w:jc w:val="left"/>
      </w:pPr>
      <w:r>
        <w:rPr>
          <w:i/>
          <w:iCs/>
          <w:spacing w:val="0"/>
          <w:w w:val="100"/>
          <w:position w:val="0"/>
          <w:shd w:val="clear" w:color="auto" w:fill="auto"/>
          <w:lang w:val="en-US" w:eastAsia="en-US" w:bidi="en-US"/>
        </w:rPr>
        <w:t>Distribution.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Our knowledge of this subject is at present but frag</w:t>
        <w:softHyphen/>
        <w:t>mentary ; we await fuller information in the remaining reports on the sponges obtained by the “ Challenger.” The sponges are widely distributed through existing seas, and freshwater forms are found in the rivers and lakes of all continents except Australia, and in numerous islands, in</w:t>
        <w:softHyphen/>
        <w:t>cluding New Zealand. Many genera and several species are cosmopolitan, and so are most orders.</w:t>
      </w:r>
    </w:p>
    <w:p>
      <w:pPr>
        <w:pStyle w:val="Style5"/>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As instances of the same species occurring in widely remote localities we take the following from Polejaeff :—</w:t>
      </w:r>
      <w:r>
        <w:rPr>
          <w:i/>
          <w:iCs/>
          <w:spacing w:val="0"/>
          <w:w w:val="100"/>
          <w:position w:val="0"/>
          <w:shd w:val="clear" w:color="auto" w:fill="auto"/>
          <w:lang w:val="en-US" w:eastAsia="en-US" w:bidi="en-US"/>
        </w:rPr>
        <w:t>Sycon arcticum</w:t>
      </w:r>
      <w:r>
        <w:rPr>
          <w:spacing w:val="0"/>
          <w:w w:val="100"/>
          <w:position w:val="0"/>
          <w:shd w:val="clear" w:color="auto" w:fill="auto"/>
          <w:lang w:val="en-US" w:eastAsia="en-US" w:bidi="en-US"/>
        </w:rPr>
        <w:t xml:space="preserve"> is found at the Bermudas and in the Philippine Islands, as also are </w:t>
      </w:r>
      <w:r>
        <w:rPr>
          <w:i/>
          <w:iCs/>
          <w:spacing w:val="0"/>
          <w:w w:val="100"/>
          <w:position w:val="0"/>
          <w:shd w:val="clear" w:color="auto" w:fill="auto"/>
          <w:lang w:val="en-US" w:eastAsia="en-US" w:bidi="en-US"/>
        </w:rPr>
        <w:t>Lcuconia multiformis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Lcucilla, uter ; Sycon raphanus</w:t>
      </w:r>
      <w:r>
        <w:rPr>
          <w:spacing w:val="0"/>
          <w:w w:val="100"/>
          <w:position w:val="0"/>
          <w:shd w:val="clear" w:color="auto" w:fill="auto"/>
          <w:lang w:val="en-US" w:eastAsia="en-US" w:bidi="en-US"/>
        </w:rPr>
        <w:t xml:space="preserve"> occurs at Tristan da Cunha aud the Philippines ; </w:t>
      </w:r>
      <w:r>
        <w:rPr>
          <w:i/>
          <w:iCs/>
          <w:spacing w:val="0"/>
          <w:w w:val="100"/>
          <w:position w:val="0"/>
          <w:shd w:val="clear" w:color="auto" w:fill="auto"/>
          <w:lang w:val="en-US" w:eastAsia="en-US" w:bidi="en-US"/>
        </w:rPr>
        <w:t xml:space="preserve">Heteropegma nodus-gordii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Lcuconia dura</w:t>
      </w:r>
      <w:r>
        <w:rPr>
          <w:spacing w:val="0"/>
          <w:w w:val="100"/>
          <w:position w:val="0"/>
          <w:shd w:val="clear" w:color="auto" w:fill="auto"/>
          <w:lang w:val="en-US" w:eastAsia="en-US" w:bidi="en-US"/>
        </w:rPr>
        <w:t xml:space="preserve"> at the Bermudas and Torres Straits. We do not know, however, whether these species are isolated in their distribu</w:t>
        <w:softHyphen/>
        <w:t xml:space="preserve">tion or connected by intermediate localities. Of the </w:t>
      </w:r>
      <w:r>
        <w:rPr>
          <w:i/>
          <w:iCs/>
          <w:spacing w:val="0"/>
          <w:w w:val="100"/>
          <w:position w:val="0"/>
          <w:shd w:val="clear" w:color="auto" w:fill="auto"/>
          <w:lang w:val="en-US" w:eastAsia="en-US" w:bidi="en-US"/>
        </w:rPr>
        <w:t>Calcarea</w:t>
      </w:r>
      <w:r>
        <w:rPr>
          <w:spacing w:val="0"/>
          <w:w w:val="100"/>
          <w:position w:val="0"/>
          <w:shd w:val="clear" w:color="auto" w:fill="auto"/>
          <w:lang w:val="en-US" w:eastAsia="en-US" w:bidi="en-US"/>
        </w:rPr>
        <w:t xml:space="preserve"> about eighty-one species have been obtained from the Atlantic, twenty- two from the Pacific, and twenty-two from the Indian Ocean ; but these numbers no doubt depend largely on the extent to which the several oceans have been investigated, for the largest number of species has been found in the ocean nearest home. Schulze states that the </w:t>
      </w:r>
      <w:r>
        <w:rPr>
          <w:i/>
          <w:iCs/>
          <w:spacing w:val="0"/>
          <w:w w:val="100"/>
          <w:position w:val="0"/>
          <w:shd w:val="clear" w:color="auto" w:fill="auto"/>
          <w:lang w:val="en-US" w:eastAsia="en-US" w:bidi="en-US"/>
        </w:rPr>
        <w:t>Hexactinellida</w:t>
      </w:r>
      <w:r>
        <w:rPr>
          <w:spacing w:val="0"/>
          <w:w w:val="100"/>
          <w:position w:val="0"/>
          <w:shd w:val="clear" w:color="auto" w:fill="auto"/>
          <w:lang w:val="en-US" w:eastAsia="en-US" w:bidi="en-US"/>
        </w:rPr>
        <w:t xml:space="preserve"> brought home by the “Challenger” were obtained at seventeen Atlantic stations, twenty-seven Pacific, and nineteen in the South Seas. In the last the number of species was greatest, in the Atlantic least. They flourish best on a bottom of diatomaceous mud. The </w:t>
      </w:r>
      <w:r>
        <w:rPr>
          <w:i/>
          <w:iCs/>
          <w:spacing w:val="0"/>
          <w:w w:val="100"/>
          <w:position w:val="0"/>
          <w:shd w:val="clear" w:color="auto" w:fill="auto"/>
          <w:lang w:val="en-US" w:eastAsia="en-US" w:bidi="en-US"/>
        </w:rPr>
        <w:t>Calcarea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Ceratosa</w:t>
      </w:r>
      <w:r>
        <w:rPr>
          <w:spacing w:val="0"/>
          <w:w w:val="100"/>
          <w:position w:val="0"/>
          <w:shd w:val="clear" w:color="auto" w:fill="auto"/>
          <w:lang w:val="en-US" w:eastAsia="en-US" w:bidi="en-US"/>
        </w:rPr>
        <w:t xml:space="preserve"> are most abundant in shallow water and down to 40 fathoms, but they descend to from 400 to 450 fathoms. The </w:t>
      </w:r>
      <w:r>
        <w:rPr>
          <w:i/>
          <w:iCs/>
          <w:spacing w:val="0"/>
          <w:w w:val="100"/>
          <w:position w:val="0"/>
          <w:shd w:val="clear" w:color="auto" w:fill="auto"/>
          <w:lang w:val="en-US" w:eastAsia="en-US" w:bidi="en-US"/>
        </w:rPr>
        <w:t>Hexactinellida</w:t>
      </w:r>
      <w:r>
        <w:rPr>
          <w:spacing w:val="0"/>
          <w:w w:val="100"/>
          <w:position w:val="0"/>
          <w:shd w:val="clear" w:color="auto" w:fill="auto"/>
          <w:lang w:val="en-US" w:eastAsia="en-US" w:bidi="en-US"/>
        </w:rPr>
        <w:t xml:space="preserve"> are most numerous over continental depths,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100 to 200 fathoms; but they extend downwards to over 2500 fathoms and upwards into shallow water (10 to 20 fathoms). The </w:t>
      </w:r>
      <w:r>
        <w:rPr>
          <w:i/>
          <w:iCs/>
          <w:spacing w:val="0"/>
          <w:w w:val="100"/>
          <w:position w:val="0"/>
          <w:shd w:val="clear" w:color="auto" w:fill="auto"/>
          <w:lang w:val="en-US" w:eastAsia="en-US" w:bidi="en-US"/>
        </w:rPr>
        <w:t>Lithistida</w:t>
      </w:r>
      <w:r>
        <w:rPr>
          <w:spacing w:val="0"/>
          <w:w w:val="100"/>
          <w:position w:val="0"/>
          <w:shd w:val="clear" w:color="auto" w:fill="auto"/>
          <w:lang w:val="en-US" w:eastAsia="en-US" w:bidi="en-US"/>
        </w:rPr>
        <w:t xml:space="preserve"> are not such deep-water forms as the </w:t>
      </w:r>
      <w:r>
        <w:rPr>
          <w:i/>
          <w:iCs/>
          <w:spacing w:val="0"/>
          <w:w w:val="100"/>
          <w:position w:val="0"/>
          <w:shd w:val="clear" w:color="auto" w:fill="auto"/>
          <w:lang w:val="en-US" w:eastAsia="en-US" w:bidi="en-US"/>
        </w:rPr>
        <w:t>Hexactinellida,</w:t>
      </w:r>
      <w:r>
        <w:rPr>
          <w:spacing w:val="0"/>
          <w:w w:val="100"/>
          <w:position w:val="0"/>
          <w:shd w:val="clear" w:color="auto" w:fill="auto"/>
          <w:lang w:val="en-US" w:eastAsia="en-US" w:bidi="en-US"/>
        </w:rPr>
        <w:t xml:space="preserve"> being most numerous from 10 to 150 fathoms. Only one or two species have been dredged from depths greater than 400 fathoms, and none from 1000 fathoms. The </w:t>
      </w:r>
      <w:r>
        <w:rPr>
          <w:i/>
          <w:iCs/>
          <w:spacing w:val="0"/>
          <w:w w:val="100"/>
          <w:position w:val="0"/>
          <w:shd w:val="clear" w:color="auto" w:fill="auto"/>
          <w:lang w:val="en-US" w:eastAsia="en-US" w:bidi="en-US"/>
        </w:rPr>
        <w:t>Choristida</w:t>
      </w:r>
      <w:r>
        <w:rPr>
          <w:spacing w:val="0"/>
          <w:w w:val="100"/>
          <w:position w:val="0"/>
          <w:shd w:val="clear" w:color="auto" w:fill="auto"/>
          <w:lang w:val="en-US" w:eastAsia="en-US" w:bidi="en-US"/>
        </w:rPr>
        <w:t xml:space="preserve"> range from shallow water to abyssal depths. A characteristic deep-sea Choristid genus is </w:t>
      </w:r>
      <w:r>
        <w:rPr>
          <w:i/>
          <w:iCs/>
          <w:spacing w:val="0"/>
          <w:w w:val="100"/>
          <w:position w:val="0"/>
          <w:shd w:val="clear" w:color="auto" w:fill="auto"/>
          <w:lang w:val="en-US" w:eastAsia="en-US" w:bidi="en-US"/>
        </w:rPr>
        <w:t>Thenea,</w:t>
      </w:r>
      <w:r>
        <w:rPr>
          <w:spacing w:val="0"/>
          <w:w w:val="100"/>
          <w:position w:val="0"/>
          <w:shd w:val="clear" w:color="auto" w:fill="auto"/>
          <w:lang w:val="en-US" w:eastAsia="en-US" w:bidi="en-US"/>
        </w:rPr>
        <w:t xml:space="preserve"> Gray (= </w:t>
      </w:r>
      <w:r>
        <w:rPr>
          <w:i/>
          <w:iCs/>
          <w:spacing w:val="0"/>
          <w:w w:val="100"/>
          <w:position w:val="0"/>
          <w:shd w:val="clear" w:color="auto" w:fill="auto"/>
          <w:lang w:val="en-US" w:eastAsia="en-US" w:bidi="en-US"/>
        </w:rPr>
        <w:t>Wyville Thompsonia,</w:t>
      </w:r>
      <w:r>
        <w:rPr>
          <w:spacing w:val="0"/>
          <w:w w:val="100"/>
          <w:position w:val="0"/>
          <w:shd w:val="clear" w:color="auto" w:fill="auto"/>
          <w:lang w:val="en-US" w:eastAsia="en-US" w:bidi="en-US"/>
        </w:rPr>
        <w:t xml:space="preserve"> Wright ; </w:t>
      </w:r>
      <w:r>
        <w:rPr>
          <w:i/>
          <w:iCs/>
          <w:spacing w:val="0"/>
          <w:w w:val="100"/>
          <w:position w:val="0"/>
          <w:shd w:val="clear" w:color="auto" w:fill="auto"/>
          <w:lang w:val="en-US" w:eastAsia="en-US" w:bidi="en-US"/>
        </w:rPr>
        <w:t>Dorvillia,</w:t>
      </w:r>
      <w:r>
        <w:rPr>
          <w:spacing w:val="0"/>
          <w:w w:val="100"/>
          <w:position w:val="0"/>
          <w:shd w:val="clear" w:color="auto" w:fill="auto"/>
          <w:lang w:val="en-US" w:eastAsia="en-US" w:bidi="en-US"/>
        </w:rPr>
        <w:t xml:space="preserve"> Kent). This is most frequently dredged from depths of from 1000 to 2000 fathoms ; but it extends to 2700 fathoms on the one hand and to 100 on the other.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Until about 1876 one of the chief obstacles to the inter</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pretation of fossil sponges arose from a singular mineral replacement which most of them have undergone, leading to the substitution of calcite for the silica of which their skeletons were originally composed. This change was de</w:t>
        <w:softHyphen/>
        <w:t>monstrated by Zittel (</w:t>
      </w:r>
      <w:r>
        <w:rPr>
          <w:i/>
          <w:iCs/>
          <w:spacing w:val="0"/>
          <w:w w:val="100"/>
          <w:position w:val="0"/>
          <w:shd w:val="clear" w:color="auto" w:fill="auto"/>
          <w:lang w:val="en-US" w:eastAsia="en-US" w:bidi="en-US"/>
        </w:rPr>
        <w:t>35</w:t>
      </w:r>
      <w:r>
        <w:rPr>
          <w:spacing w:val="0"/>
          <w:w w:val="100"/>
          <w:position w:val="0"/>
          <w:shd w:val="clear" w:color="auto" w:fill="auto"/>
          <w:lang w:val="en-US" w:eastAsia="en-US" w:bidi="en-US"/>
        </w:rPr>
        <w:t xml:space="preserve">) and </w:t>
      </w:r>
      <w:r>
        <w:rPr>
          <w:spacing w:val="0"/>
          <w:w w:val="100"/>
          <w:position w:val="0"/>
          <w:shd w:val="clear" w:color="auto" w:fill="auto"/>
          <w:lang w:val="la-001" w:eastAsia="la-001" w:bidi="la-001"/>
        </w:rPr>
        <w:t xml:space="preserve">Sollas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24</w:t>
      </w:r>
      <w:r>
        <w:rPr>
          <w:spacing w:val="0"/>
          <w:w w:val="100"/>
          <w:position w:val="0"/>
          <w:shd w:val="clear" w:color="auto" w:fill="auto"/>
          <w:lang w:val="en-US" w:eastAsia="en-US" w:bidi="en-US"/>
        </w:rPr>
        <w:t>), and, though it was at first pronounced impossible, owing to objections founded on the chemical nature of silica, it has since be</w:t>
        <w:softHyphen/>
        <w:t>come generally recognized. These observers also showed that the fossil sponges do not belong to extinct types, but are assignable to existing orders. Zittel in addition sub</w:t>
        <w:softHyphen/>
        <w:t xml:space="preserve">jected large collections to a careful analysis and marshalled them into order with remarkable success. Since then several </w:t>
      </w:r>
      <w:r>
        <w:rPr>
          <w:spacing w:val="0"/>
          <w:w w:val="100"/>
          <w:position w:val="0"/>
          <w:shd w:val="clear" w:color="auto" w:fill="auto"/>
          <w:lang w:val="fr-FR" w:eastAsia="fr-FR" w:bidi="fr-FR"/>
        </w:rPr>
        <w:t xml:space="preserve">palæontologists </w:t>
      </w:r>
      <w:r>
        <w:rPr>
          <w:spacing w:val="0"/>
          <w:w w:val="100"/>
          <w:position w:val="0"/>
          <w:shd w:val="clear" w:color="auto" w:fill="auto"/>
          <w:lang w:val="en-US" w:eastAsia="en-US" w:bidi="en-US"/>
        </w:rPr>
        <w:t>have worked at the subject,—Pocta, Dunikowski, and Hinde (</w:t>
      </w:r>
      <w:r>
        <w:rPr>
          <w:i/>
          <w:iCs/>
          <w:spacing w:val="0"/>
          <w:w w:val="100"/>
          <w:position w:val="0"/>
          <w:shd w:val="clear" w:color="auto" w:fill="auto"/>
          <w:lang w:val="en-US" w:eastAsia="en-US" w:bidi="en-US"/>
        </w:rPr>
        <w:t>7</w:t>
      </w:r>
      <w:r>
        <w:rPr>
          <w:spacing w:val="0"/>
          <w:w w:val="100"/>
          <w:position w:val="0"/>
          <w:shd w:val="clear" w:color="auto" w:fill="auto"/>
          <w:lang w:val="en-US" w:eastAsia="en-US" w:bidi="en-US"/>
        </w:rPr>
        <w:t xml:space="preserve">), who has published a </w:t>
      </w:r>
      <w:r>
        <w:rPr>
          <w:i/>
          <w:iCs/>
          <w:spacing w:val="0"/>
          <w:w w:val="100"/>
          <w:position w:val="0"/>
          <w:shd w:val="clear" w:color="auto" w:fill="auto"/>
          <w:lang w:val="en-US" w:eastAsia="en-US" w:bidi="en-US"/>
        </w:rPr>
        <w:t>Cata</w:t>
        <w:softHyphen/>
        <w:t>logue—</w:t>
      </w:r>
      <w:r>
        <w:rPr>
          <w:spacing w:val="0"/>
          <w:w w:val="100"/>
          <w:position w:val="0"/>
          <w:shd w:val="clear" w:color="auto" w:fill="auto"/>
          <w:lang w:val="en-US" w:eastAsia="en-US" w:bidi="en-US"/>
        </w:rPr>
        <w:t>which is much more than a catalogue—of the sponges preserved in the British Museum. The result of their labours is in general terms as follows. Fossil sponges are chiefly such as from the coarseness or consistency of their skeletons would be capable of preservation in a miner</w:t>
        <w:softHyphen/>
        <w:t xml:space="preserve">alized state. Thus the majority are </w:t>
      </w:r>
      <w:r>
        <w:rPr>
          <w:i/>
          <w:iCs/>
          <w:spacing w:val="0"/>
          <w:w w:val="100"/>
          <w:position w:val="0"/>
          <w:shd w:val="clear" w:color="auto" w:fill="auto"/>
          <w:lang w:val="en-US" w:eastAsia="en-US" w:bidi="en-US"/>
        </w:rPr>
        <w:t>Hexactinellida,</w:t>
      </w:r>
      <w:r>
        <w:rPr>
          <w:spacing w:val="0"/>
          <w:w w:val="100"/>
          <w:position w:val="0"/>
          <w:shd w:val="clear" w:color="auto" w:fill="auto"/>
          <w:lang w:val="en-US" w:eastAsia="en-US" w:bidi="en-US"/>
        </w:rPr>
        <w:t xml:space="preserve"> chiefly </w:t>
      </w:r>
      <w:r>
        <w:rPr>
          <w:i/>
          <w:iCs/>
          <w:spacing w:val="0"/>
          <w:w w:val="100"/>
          <w:position w:val="0"/>
          <w:shd w:val="clear" w:color="auto" w:fill="auto"/>
          <w:lang w:val="en-US" w:eastAsia="en-US" w:bidi="en-US"/>
        </w:rPr>
        <w:t>Dictyonina ; Tetractinellida,</w:t>
      </w:r>
      <w:r>
        <w:rPr>
          <w:spacing w:val="0"/>
          <w:w w:val="100"/>
          <w:position w:val="0"/>
          <w:shd w:val="clear" w:color="auto" w:fill="auto"/>
          <w:lang w:val="en-US" w:eastAsia="en-US" w:bidi="en-US"/>
        </w:rPr>
        <w:t xml:space="preserve"> chiefly </w:t>
      </w:r>
      <w:r>
        <w:rPr>
          <w:i/>
          <w:iCs/>
          <w:spacing w:val="0"/>
          <w:w w:val="100"/>
          <w:position w:val="0"/>
          <w:shd w:val="clear" w:color="auto" w:fill="auto"/>
          <w:lang w:val="en-US" w:eastAsia="en-US" w:bidi="en-US"/>
        </w:rPr>
        <w:t>Lithistida ;</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Cal</w:t>
        <w:softHyphen/>
        <w:t>carea,</w:t>
      </w:r>
      <w:r>
        <w:rPr>
          <w:spacing w:val="0"/>
          <w:w w:val="100"/>
          <w:position w:val="0"/>
          <w:shd w:val="clear" w:color="auto" w:fill="auto"/>
          <w:lang w:val="en-US" w:eastAsia="en-US" w:bidi="en-US"/>
        </w:rPr>
        <w:t xml:space="preserve"> chiefly </w:t>
      </w:r>
      <w:r>
        <w:rPr>
          <w:i/>
          <w:iCs/>
          <w:spacing w:val="0"/>
          <w:w w:val="100"/>
          <w:position w:val="0"/>
          <w:shd w:val="clear" w:color="auto" w:fill="auto"/>
          <w:lang w:val="en-US" w:eastAsia="en-US" w:bidi="en-US"/>
        </w:rPr>
        <w:t>Leuconaria.</w:t>
      </w:r>
      <w:r>
        <w:rPr>
          <w:spacing w:val="0"/>
          <w:w w:val="100"/>
          <w:position w:val="0"/>
          <w:shd w:val="clear" w:color="auto" w:fill="auto"/>
          <w:lang w:val="en-US" w:eastAsia="en-US" w:bidi="en-US"/>
        </w:rPr>
        <w:t xml:space="preserve"> Monaxonid sponges rarely occur ; the most ancient is </w:t>
      </w:r>
      <w:r>
        <w:rPr>
          <w:i/>
          <w:iCs/>
          <w:spacing w:val="0"/>
          <w:w w:val="100"/>
          <w:position w:val="0"/>
          <w:shd w:val="clear" w:color="auto" w:fill="auto"/>
          <w:lang w:val="en-US" w:eastAsia="en-US" w:bidi="en-US"/>
        </w:rPr>
        <w:t>Climacospongia,</w:t>
      </w:r>
      <w:r>
        <w:rPr>
          <w:spacing w:val="0"/>
          <w:w w:val="100"/>
          <w:position w:val="0"/>
          <w:shd w:val="clear" w:color="auto" w:fill="auto"/>
          <w:lang w:val="en-US" w:eastAsia="en-US" w:bidi="en-US"/>
        </w:rPr>
        <w:t xml:space="preserve"> Hinde, found in Sil</w:t>
        <w:softHyphen/>
        <w:t xml:space="preserve">urian rocks. A very common Halichondroid sponge of this group </w:t>
      </w:r>
      <w:r>
        <w:rPr>
          <w:i/>
          <w:iCs/>
          <w:spacing w:val="0"/>
          <w:w w:val="100"/>
          <w:position w:val="0"/>
          <w:shd w:val="clear" w:color="auto" w:fill="auto"/>
          <w:lang w:val="en-US" w:eastAsia="en-US" w:bidi="en-US"/>
        </w:rPr>
        <w:t>(Pharetrospongia strahani,</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Soll.) </w:t>
      </w:r>
      <w:r>
        <w:rPr>
          <w:spacing w:val="0"/>
          <w:w w:val="100"/>
          <w:position w:val="0"/>
          <w:shd w:val="clear" w:color="auto" w:fill="auto"/>
          <w:lang w:val="en-US" w:eastAsia="en-US" w:bidi="en-US"/>
        </w:rPr>
        <w:t>occurs in the Cam</w:t>
        <w:softHyphen/>
        <w:t xml:space="preserve">bridge greensand; it owes its preservation to the collection of its small oxeate spicules into dense fibres. The </w:t>
      </w:r>
      <w:r>
        <w:rPr>
          <w:i/>
          <w:iCs/>
          <w:spacing w:val="0"/>
          <w:w w:val="100"/>
          <w:position w:val="0"/>
          <w:shd w:val="clear" w:color="auto" w:fill="auto"/>
          <w:lang w:val="en-US" w:eastAsia="en-US" w:bidi="en-US"/>
        </w:rPr>
        <w:t xml:space="preserve">Choristida, </w:t>
      </w:r>
      <w:r>
        <w:rPr>
          <w:spacing w:val="0"/>
          <w:w w:val="100"/>
          <w:position w:val="0"/>
          <w:shd w:val="clear" w:color="auto" w:fill="auto"/>
          <w:lang w:val="en-US" w:eastAsia="en-US" w:bidi="en-US"/>
        </w:rPr>
        <w:t>though not so common as the Lithistids, are commoner than the Monaxonids, particularly in Mesozoic strata.</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distribution of fossil sponges in the stratified systems may be summarized as follows. </w:t>
      </w:r>
      <w:r>
        <w:rPr>
          <w:smallCaps/>
          <w:spacing w:val="0"/>
          <w:w w:val="100"/>
          <w:position w:val="0"/>
          <w:shd w:val="clear" w:color="auto" w:fill="auto"/>
          <w:lang w:val="en-US" w:eastAsia="en-US" w:bidi="en-US"/>
        </w:rPr>
        <w:t>Calcarea.—</w:t>
      </w:r>
      <w:r>
        <w:rPr>
          <w:i/>
          <w:iCs/>
          <w:spacing w:val="0"/>
          <w:w w:val="100"/>
          <w:position w:val="0"/>
          <w:shd w:val="clear" w:color="auto" w:fill="auto"/>
          <w:lang w:val="en-US" w:eastAsia="en-US" w:bidi="en-US"/>
        </w:rPr>
        <w:t>Homoc</w:t>
      </w:r>
      <w:r>
        <w:rPr>
          <w:i/>
          <w:iCs/>
          <w:spacing w:val="0"/>
          <w:w w:val="100"/>
          <w:position w:val="0"/>
          <w:shd w:val="clear" w:color="auto" w:fill="auto"/>
          <w:lang w:val="en-US" w:eastAsia="en-US" w:bidi="en-US"/>
        </w:rPr>
        <w:t>œ</w:t>
      </w:r>
      <w:r>
        <w:rPr>
          <w:i/>
          <w:iCs/>
          <w:spacing w:val="0"/>
          <w:w w:val="100"/>
          <w:position w:val="0"/>
          <w:shd w:val="clear" w:color="auto" w:fill="auto"/>
          <w:lang w:val="en-US" w:eastAsia="en-US" w:bidi="en-US"/>
        </w:rPr>
        <w:t>lα,</w:t>
      </w:r>
      <w:r>
        <w:rPr>
          <w:spacing w:val="0"/>
          <w:w w:val="100"/>
          <w:position w:val="0"/>
          <w:shd w:val="clear" w:color="auto" w:fill="auto"/>
          <w:lang w:val="en-US" w:eastAsia="en-US" w:bidi="en-US"/>
        </w:rPr>
        <w:t xml:space="preserve"> none. </w:t>
      </w:r>
      <w:r>
        <w:rPr>
          <w:i/>
          <w:iCs/>
          <w:spacing w:val="0"/>
          <w:w w:val="100"/>
          <w:position w:val="0"/>
          <w:shd w:val="clear" w:color="auto" w:fill="auto"/>
          <w:lang w:val="en-US" w:eastAsia="en-US" w:bidi="en-US"/>
        </w:rPr>
        <w:t>Hetero</w:t>
      </w:r>
      <w:r>
        <w:rPr>
          <w:i/>
          <w:iCs/>
          <w:spacing w:val="0"/>
          <w:w w:val="100"/>
          <w:position w:val="0"/>
          <w:shd w:val="clear" w:color="auto" w:fill="auto"/>
          <w:lang w:val="fr-FR" w:eastAsia="fr-FR" w:bidi="fr-FR"/>
        </w:rPr>
        <w:t>cœla,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Syconid, in the Jurassic system. Numerous </w:t>
      </w:r>
      <w:r>
        <w:rPr>
          <w:i/>
          <w:iCs/>
          <w:spacing w:val="0"/>
          <w:w w:val="100"/>
          <w:position w:val="0"/>
          <w:shd w:val="clear" w:color="auto" w:fill="auto"/>
          <w:lang w:val="en-US" w:eastAsia="en-US" w:bidi="en-US"/>
        </w:rPr>
        <w:t xml:space="preserve">Leuconaria </w:t>
      </w:r>
      <w:r>
        <w:rPr>
          <w:spacing w:val="0"/>
          <w:w w:val="100"/>
          <w:position w:val="0"/>
          <w:shd w:val="clear" w:color="auto" w:fill="auto"/>
          <w:lang w:val="en-US" w:eastAsia="en-US" w:bidi="en-US"/>
        </w:rPr>
        <w:t xml:space="preserve">from the Devonian upwards. </w:t>
      </w:r>
      <w:r>
        <w:rPr>
          <w:smallCaps/>
          <w:spacing w:val="0"/>
          <w:w w:val="100"/>
          <w:position w:val="0"/>
          <w:shd w:val="clear" w:color="auto" w:fill="auto"/>
          <w:lang w:val="fr-FR" w:eastAsia="fr-FR" w:bidi="fr-FR"/>
        </w:rPr>
        <w:t>Myxospongiæ.</w:t>
      </w:r>
      <w:r>
        <w:rPr>
          <w:spacing w:val="0"/>
          <w:w w:val="100"/>
          <w:position w:val="0"/>
          <w:shd w:val="clear" w:color="auto" w:fill="auto"/>
          <w:lang w:val="en-US" w:eastAsia="en-US" w:bidi="en-US"/>
        </w:rPr>
        <w:t xml:space="preserve">—None; not fitted for preservation. </w:t>
      </w:r>
      <w:r>
        <w:rPr>
          <w:smallCaps/>
          <w:spacing w:val="0"/>
          <w:w w:val="100"/>
          <w:position w:val="0"/>
          <w:shd w:val="clear" w:color="auto" w:fill="auto"/>
          <w:lang w:val="en-US" w:eastAsia="en-US" w:bidi="en-US"/>
        </w:rPr>
        <w:t>Hexactinellida.—</w:t>
      </w:r>
      <w:r>
        <w:rPr>
          <w:i/>
          <w:iCs/>
          <w:spacing w:val="0"/>
          <w:w w:val="100"/>
          <w:position w:val="0"/>
          <w:shd w:val="clear" w:color="auto" w:fill="auto"/>
          <w:lang w:val="en-US" w:eastAsia="en-US" w:bidi="en-US"/>
        </w:rPr>
        <w:t>Lyssacina,</w:t>
      </w:r>
      <w:r>
        <w:rPr>
          <w:spacing w:val="0"/>
          <w:w w:val="100"/>
          <w:position w:val="0"/>
          <w:shd w:val="clear" w:color="auto" w:fill="auto"/>
          <w:lang w:val="en-US" w:eastAsia="en-US" w:bidi="en-US"/>
        </w:rPr>
        <w:t xml:space="preserve"> from the Lower Cambrian upwards. </w:t>
      </w:r>
      <w:r>
        <w:rPr>
          <w:i/>
          <w:iCs/>
          <w:spacing w:val="0"/>
          <w:w w:val="100"/>
          <w:position w:val="0"/>
          <w:shd w:val="clear" w:color="auto" w:fill="auto"/>
          <w:lang w:val="en-US" w:eastAsia="en-US" w:bidi="en-US"/>
        </w:rPr>
        <w:t>Dictyonina,</w:t>
      </w:r>
      <w:r>
        <w:rPr>
          <w:spacing w:val="0"/>
          <w:w w:val="100"/>
          <w:position w:val="0"/>
          <w:shd w:val="clear" w:color="auto" w:fill="auto"/>
          <w:lang w:val="en-US" w:eastAsia="en-US" w:bidi="en-US"/>
        </w:rPr>
        <w:t xml:space="preserve"> commencing in the Silurian ; most numerous in the Mesozoic group ; still existing. </w:t>
      </w:r>
      <w:r>
        <w:rPr>
          <w:smallCaps/>
          <w:spacing w:val="0"/>
          <w:w w:val="100"/>
          <w:position w:val="0"/>
          <w:shd w:val="clear" w:color="auto" w:fill="auto"/>
          <w:lang w:val="en-US" w:eastAsia="en-US" w:bidi="en-US"/>
        </w:rPr>
        <w:t xml:space="preserve">Monaxonida.— </w:t>
      </w:r>
      <w:r>
        <w:rPr>
          <w:i/>
          <w:iCs/>
          <w:spacing w:val="0"/>
          <w:w w:val="100"/>
          <w:position w:val="0"/>
          <w:shd w:val="clear" w:color="auto" w:fill="auto"/>
          <w:lang w:val="en-US" w:eastAsia="en-US" w:bidi="en-US"/>
        </w:rPr>
        <w:t>Monaxona,</w:t>
      </w:r>
      <w:r>
        <w:rPr>
          <w:spacing w:val="0"/>
          <w:w w:val="100"/>
          <w:position w:val="0"/>
          <w:shd w:val="clear" w:color="auto" w:fill="auto"/>
          <w:lang w:val="en-US" w:eastAsia="en-US" w:bidi="en-US"/>
        </w:rPr>
        <w:t xml:space="preserve"> from the Silurian upwards. </w:t>
      </w:r>
      <w:r>
        <w:rPr>
          <w:i/>
          <w:iCs/>
          <w:spacing w:val="0"/>
          <w:w w:val="100"/>
          <w:position w:val="0"/>
          <w:shd w:val="clear" w:color="auto" w:fill="auto"/>
          <w:lang w:val="en-US" w:eastAsia="en-US" w:bidi="en-US"/>
        </w:rPr>
        <w:t>Ceratosa,</w:t>
      </w:r>
      <w:r>
        <w:rPr>
          <w:spacing w:val="0"/>
          <w:w w:val="100"/>
          <w:position w:val="0"/>
          <w:shd w:val="clear" w:color="auto" w:fill="auto"/>
          <w:lang w:val="en-US" w:eastAsia="en-US" w:bidi="en-US"/>
        </w:rPr>
        <w:t xml:space="preserve"> none ; few are fitted for preservation. </w:t>
      </w:r>
      <w:r>
        <w:rPr>
          <w:smallCaps/>
          <w:spacing w:val="0"/>
          <w:w w:val="100"/>
          <w:position w:val="0"/>
          <w:shd w:val="clear" w:color="auto" w:fill="auto"/>
          <w:lang w:val="en-US" w:eastAsia="en-US" w:bidi="en-US"/>
        </w:rPr>
        <w:t>Tetractinellida.—</w:t>
      </w:r>
      <w:r>
        <w:rPr>
          <w:i/>
          <w:iCs/>
          <w:spacing w:val="0"/>
          <w:w w:val="100"/>
          <w:position w:val="0"/>
          <w:shd w:val="clear" w:color="auto" w:fill="auto"/>
          <w:lang w:val="en-US" w:eastAsia="en-US" w:bidi="en-US"/>
        </w:rPr>
        <w:t>Choristida,</w:t>
      </w:r>
      <w:r>
        <w:rPr>
          <w:spacing w:val="0"/>
          <w:w w:val="100"/>
          <w:position w:val="0"/>
          <w:shd w:val="clear" w:color="auto" w:fill="auto"/>
          <w:lang w:val="en-US" w:eastAsia="en-US" w:bidi="en-US"/>
        </w:rPr>
        <w:t xml:space="preserve"> from the Carboniferous upwards ; most numerous in the Cretaceous system. </w:t>
      </w:r>
      <w:r>
        <w:rPr>
          <w:i/>
          <w:iCs/>
          <w:spacing w:val="0"/>
          <w:w w:val="100"/>
          <w:position w:val="0"/>
          <w:shd w:val="clear" w:color="auto" w:fill="auto"/>
          <w:lang w:val="en-US" w:eastAsia="en-US" w:bidi="en-US"/>
        </w:rPr>
        <w:t>Lithistida,</w:t>
      </w:r>
      <w:r>
        <w:rPr>
          <w:spacing w:val="0"/>
          <w:w w:val="100"/>
          <w:position w:val="0"/>
          <w:shd w:val="clear" w:color="auto" w:fill="auto"/>
          <w:lang w:val="en-US" w:eastAsia="en-US" w:bidi="en-US"/>
        </w:rPr>
        <w:t xml:space="preserve"> from the Silurian upwards ; most numerous in the Mesozoic group. In ancient times the Hexactinellids and Lithistids seem not to have been so comparatively uncommon in shallow water as they are at the present day. Thus, in the Lower Jurassic strata of the south-west of England we find Dictyonine Hexactinel</w:t>
        <w:softHyphen/>
        <w:t xml:space="preserve">lids, Lithistids, and Leuconarian </w:t>
      </w:r>
      <w:r>
        <w:rPr>
          <w:i/>
          <w:iCs/>
          <w:spacing w:val="0"/>
          <w:w w:val="100"/>
          <w:position w:val="0"/>
          <w:shd w:val="clear" w:color="auto" w:fill="auto"/>
          <w:lang w:val="en-US" w:eastAsia="en-US" w:bidi="en-US"/>
        </w:rPr>
        <w:t>Calcarea</w:t>
      </w:r>
      <w:r>
        <w:rPr>
          <w:spacing w:val="0"/>
          <w:w w:val="100"/>
          <w:position w:val="0"/>
          <w:shd w:val="clear" w:color="auto" w:fill="auto"/>
          <w:lang w:val="en-US" w:eastAsia="en-US" w:bidi="en-US"/>
        </w:rPr>
        <w:t xml:space="preserve"> associated together in a shelly breccia and in company with littoral shells, such as </w:t>
      </w:r>
      <w:r>
        <w:rPr>
          <w:i/>
          <w:iCs/>
          <w:spacing w:val="0"/>
          <w:w w:val="100"/>
          <w:position w:val="0"/>
          <w:shd w:val="clear" w:color="auto" w:fill="auto"/>
          <w:lang w:val="en-US" w:eastAsia="en-US" w:bidi="en-US"/>
        </w:rPr>
        <w:t xml:space="preserve">Patella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Trochus.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Several </w:t>
      </w:r>
      <w:r>
        <w:rPr>
          <w:spacing w:val="0"/>
          <w:w w:val="100"/>
          <w:position w:val="0"/>
          <w:shd w:val="clear" w:color="auto" w:fill="auto"/>
          <w:lang w:val="fr-FR" w:eastAsia="fr-FR" w:bidi="fr-FR"/>
        </w:rPr>
        <w:t xml:space="preserve">Palæozoic </w:t>
      </w:r>
      <w:r>
        <w:rPr>
          <w:spacing w:val="0"/>
          <w:w w:val="100"/>
          <w:position w:val="0"/>
          <w:shd w:val="clear" w:color="auto" w:fill="auto"/>
          <w:lang w:val="en-US" w:eastAsia="en-US" w:bidi="en-US"/>
        </w:rPr>
        <w:t>Hexactinellids actually occur in a fine-grained sandstone. Of the Chalk, which is the great mine of fossil sponges, we must speak with caution, owing to the insufficient evidence as to the depth at which it was deposited.</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As shown by </w:t>
      </w:r>
      <w:r>
        <w:rPr>
          <w:i/>
          <w:iCs/>
          <w:spacing w:val="0"/>
          <w:w w:val="100"/>
          <w:position w:val="0"/>
          <w:shd w:val="clear" w:color="auto" w:fill="auto"/>
          <w:lang w:val="en-US" w:eastAsia="en-US" w:bidi="en-US"/>
        </w:rPr>
        <w:t>Protospongia,</w:t>
      </w:r>
      <w:r>
        <w:rPr>
          <w:spacing w:val="0"/>
          <w:w w:val="100"/>
          <w:position w:val="0"/>
          <w:shd w:val="clear" w:color="auto" w:fill="auto"/>
          <w:lang w:val="en-US" w:eastAsia="en-US" w:bidi="en-US"/>
        </w:rPr>
        <w:t xml:space="preserve"> the phylum of the sponges was in existence in very early Cambrian times, and probably much earlier. Before the end of the Silurian period its main branches had spread themselves out, and, developing fresh shoots since then, they have extended to the present day. Of the offshoots none of higher value than families are known to have become extinct, and of these decayed branches there are very few. The existence in modern seas of the </w:t>
      </w:r>
      <w:r>
        <w:rPr>
          <w:i/>
          <w:iCs/>
          <w:spacing w:val="0"/>
          <w:w w:val="100"/>
          <w:position w:val="0"/>
          <w:shd w:val="clear" w:color="auto" w:fill="auto"/>
          <w:lang w:val="fr-FR" w:eastAsia="fr-FR" w:bidi="fr-FR"/>
        </w:rPr>
        <w:t>Asconidæ,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which must surely have branched off very near the base of the stem, is another curious instance of the per</w:t>
        <w:softHyphen/>
        <w:t>sistence of simple types, which would thus appear not to be so vastly worse off in the struggle for existence than their more highly organized descendants.</w:t>
      </w:r>
    </w:p>
    <w:p>
      <w:pPr>
        <w:pStyle w:val="Style10"/>
        <w:keepNext w:val="0"/>
        <w:keepLines w:val="0"/>
        <w:widowControl w:val="0"/>
        <w:shd w:val="clear" w:color="auto" w:fill="auto"/>
        <w:bidi w:val="0"/>
        <w:spacing w:line="206" w:lineRule="auto"/>
        <w:ind w:left="0" w:firstLine="360"/>
        <w:jc w:val="left"/>
      </w:pPr>
      <w:r>
        <w:rPr>
          <w:i/>
          <w:iCs/>
          <w:spacing w:val="0"/>
          <w:w w:val="100"/>
          <w:position w:val="0"/>
          <w:shd w:val="clear" w:color="auto" w:fill="auto"/>
          <w:lang w:val="en-US" w:eastAsia="en-US" w:bidi="en-US"/>
        </w:rPr>
        <w:t>Bibliography.—</w:t>
      </w:r>
      <w:r>
        <w:rPr>
          <w:spacing w:val="0"/>
          <w:w w:val="100"/>
          <w:position w:val="0"/>
          <w:shd w:val="clear" w:color="auto" w:fill="auto"/>
          <w:lang w:val="en-US" w:eastAsia="en-US" w:bidi="en-US"/>
        </w:rPr>
        <w:t>A fairly complete list of works on sponges published before 1SS2 will be found in Vosmaer’s article “Porifer</w:t>
      </w:r>
      <w:r>
        <w:rPr>
          <w:spacing w:val="0"/>
          <w:w w:val="100"/>
          <w:position w:val="0"/>
          <w:shd w:val="clear" w:color="auto" w:fill="auto"/>
          <w:lang w:val="en-US" w:eastAsia="en-US" w:bidi="en-US"/>
        </w:rPr>
        <w:t>æ</w:t>
      </w:r>
      <w:r>
        <w:rPr>
          <w:spacing w:val="0"/>
          <w:w w:val="100"/>
          <w:position w:val="0"/>
          <w:shd w:val="clear" w:color="auto" w:fill="auto"/>
          <w:lang w:val="en-US" w:eastAsia="en-US" w:bidi="en-US"/>
        </w:rPr>
        <w:t xml:space="preserve">,” in Bronn’s </w:t>
      </w:r>
      <w:r>
        <w:rPr>
          <w:i/>
          <w:iCs/>
          <w:spacing w:val="0"/>
          <w:w w:val="100"/>
          <w:position w:val="0"/>
          <w:shd w:val="clear" w:color="auto" w:fill="auto"/>
          <w:lang w:val="de-DE" w:eastAsia="de-DE" w:bidi="de-DE"/>
        </w:rPr>
        <w:t>Klassen und Ordnungen,</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vol. ii. D’Arcy </w:t>
      </w:r>
      <w:r>
        <w:rPr>
          <w:spacing w:val="0"/>
          <w:w w:val="100"/>
          <w:position w:val="0"/>
          <w:shd w:val="clear" w:color="auto" w:fill="auto"/>
          <w:lang w:val="en-US" w:eastAsia="en-US" w:bidi="en-US"/>
        </w:rPr>
        <w:t xml:space="preserve">Thompson’s </w:t>
      </w:r>
      <w:r>
        <w:rPr>
          <w:i/>
          <w:iCs/>
          <w:spacing w:val="0"/>
          <w:w w:val="100"/>
          <w:position w:val="0"/>
          <w:shd w:val="clear" w:color="auto" w:fill="auto"/>
          <w:lang w:val="en-US" w:eastAsia="en-US" w:bidi="en-US"/>
        </w:rPr>
        <w:t>Catalogue of Papers on Protozoa and C</w:t>
      </w:r>
      <w:r>
        <w:rPr>
          <w:i/>
          <w:iCs/>
          <w:spacing w:val="0"/>
          <w:w w:val="100"/>
          <w:position w:val="0"/>
          <w:shd w:val="clear" w:color="auto" w:fill="auto"/>
          <w:lang w:val="en-US" w:eastAsia="en-US" w:bidi="en-US"/>
        </w:rPr>
        <w:t>œ</w:t>
      </w:r>
      <w:r>
        <w:rPr>
          <w:i/>
          <w:iCs/>
          <w:spacing w:val="0"/>
          <w:w w:val="100"/>
          <w:position w:val="0"/>
          <w:shd w:val="clear" w:color="auto" w:fill="auto"/>
          <w:lang w:val="en-US" w:eastAsia="en-US" w:bidi="en-US"/>
        </w:rPr>
        <w:t>lenterata,</w:t>
      </w:r>
      <w:r>
        <w:rPr>
          <w:spacing w:val="0"/>
          <w:w w:val="100"/>
          <w:position w:val="0"/>
          <w:shd w:val="clear" w:color="auto" w:fill="auto"/>
          <w:lang w:val="en-US" w:eastAsia="en-US" w:bidi="en-US"/>
        </w:rPr>
        <w:t xml:space="preserve"> a still more complete list, extends to 1SS4.</w:t>
      </w:r>
    </w:p>
    <w:p>
      <w:pPr>
        <w:pStyle w:val="Style10"/>
        <w:keepNext w:val="0"/>
        <w:keepLines w:val="0"/>
        <w:widowControl w:val="0"/>
        <w:shd w:val="clear" w:color="auto" w:fill="auto"/>
        <w:tabs>
          <w:tab w:pos="2430" w:val="left"/>
        </w:tabs>
        <w:bidi w:val="0"/>
        <w:spacing w:line="206" w:lineRule="auto"/>
        <w:ind w:left="0" w:firstLine="360"/>
        <w:jc w:val="left"/>
      </w:pPr>
      <w:r>
        <w:rPr>
          <w:spacing w:val="0"/>
          <w:w w:val="100"/>
          <w:position w:val="0"/>
          <w:shd w:val="clear" w:color="auto" w:fill="auto"/>
          <w:lang w:val="en-US" w:eastAsia="en-US" w:bidi="en-US"/>
        </w:rPr>
        <w:t>The following is a list of works, including those referred to in the preceding pages :—(</w:t>
      </w:r>
      <w:r>
        <w:rPr>
          <w:i/>
          <w:iCs/>
          <w:spacing w:val="0"/>
          <w:w w:val="100"/>
          <w:position w:val="0"/>
          <w:shd w:val="clear" w:color="auto" w:fill="auto"/>
          <w:lang w:val="en-US" w:eastAsia="en-US" w:bidi="en-US"/>
        </w:rPr>
        <w:t>1</w:t>
      </w:r>
      <w:r>
        <w:rPr>
          <w:spacing w:val="0"/>
          <w:w w:val="100"/>
          <w:position w:val="0"/>
          <w:shd w:val="clear" w:color="auto" w:fill="auto"/>
          <w:lang w:val="en-US" w:eastAsia="en-US" w:bidi="en-US"/>
        </w:rPr>
        <w:t xml:space="preserve">) C. Barrois, </w:t>
      </w:r>
      <w:r>
        <w:rPr>
          <w:i/>
          <w:iCs/>
          <w:spacing w:val="0"/>
          <w:w w:val="100"/>
          <w:position w:val="0"/>
          <w:shd w:val="clear" w:color="auto" w:fill="auto"/>
          <w:lang w:val="fr-FR" w:eastAsia="fr-FR" w:bidi="fr-FR"/>
        </w:rPr>
        <w:t xml:space="preserve">Embryologie d. quelques Éponges </w:t>
      </w:r>
      <w:r>
        <w:rPr>
          <w:i/>
          <w:iCs/>
          <w:spacing w:val="0"/>
          <w:w w:val="100"/>
          <w:position w:val="0"/>
          <w:shd w:val="clear" w:color="auto" w:fill="auto"/>
          <w:lang w:val="en-US" w:eastAsia="en-US" w:bidi="en-US"/>
        </w:rPr>
        <w:t xml:space="preserve">d. l. </w:t>
      </w:r>
      <w:r>
        <w:rPr>
          <w:i/>
          <w:iCs/>
          <w:spacing w:val="0"/>
          <w:w w:val="100"/>
          <w:position w:val="0"/>
          <w:shd w:val="clear" w:color="auto" w:fill="auto"/>
          <w:lang w:val="de-DE" w:eastAsia="de-DE" w:bidi="de-DE"/>
        </w:rPr>
        <w:t>Manche,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Paris, 1876. (</w:t>
      </w:r>
      <w:r>
        <w:rPr>
          <w:i/>
          <w:iCs/>
          <w:spacing w:val="0"/>
          <w:w w:val="100"/>
          <w:position w:val="0"/>
          <w:shd w:val="clear" w:color="auto" w:fill="auto"/>
          <w:lang w:val="en-US" w:eastAsia="en-US" w:bidi="en-US"/>
        </w:rPr>
        <w:t>3</w:t>
      </w:r>
      <w:r>
        <w:rPr>
          <w:spacing w:val="0"/>
          <w:w w:val="100"/>
          <w:position w:val="0"/>
          <w:shd w:val="clear" w:color="auto" w:fill="auto"/>
          <w:lang w:val="en-US" w:eastAsia="en-US" w:bidi="en-US"/>
        </w:rPr>
        <w:t xml:space="preserve">) Bowerbank, </w:t>
      </w:r>
      <w:r>
        <w:rPr>
          <w:i/>
          <w:iCs/>
          <w:spacing w:val="0"/>
          <w:w w:val="100"/>
          <w:position w:val="0"/>
          <w:shd w:val="clear" w:color="auto" w:fill="auto"/>
          <w:lang w:val="en-US" w:eastAsia="en-US" w:bidi="en-US"/>
        </w:rPr>
        <w:t>A Monograph of British</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Spongiadæ, vols, </w:t>
      </w:r>
      <w:r>
        <w:rPr>
          <w:spacing w:val="0"/>
          <w:w w:val="100"/>
          <w:position w:val="0"/>
          <w:shd w:val="clear" w:color="auto" w:fill="auto"/>
          <w:lang w:val="en-US" w:eastAsia="en-US" w:bidi="en-US"/>
        </w:rPr>
        <w:t xml:space="preserve">i.-iv., 1864-82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iv. is posthumous, edited by Dr Norman). (</w:t>
      </w:r>
      <w:r>
        <w:rPr>
          <w:i/>
          <w:iCs/>
          <w:spacing w:val="0"/>
          <w:w w:val="100"/>
          <w:position w:val="0"/>
          <w:shd w:val="clear" w:color="auto" w:fill="auto"/>
          <w:lang w:val="en-US" w:eastAsia="en-US" w:bidi="en-US"/>
        </w:rPr>
        <w:t>3</w:t>
      </w:r>
      <w:r>
        <w:rPr>
          <w:spacing w:val="0"/>
          <w:w w:val="100"/>
          <w:position w:val="0"/>
          <w:shd w:val="clear" w:color="auto" w:fill="auto"/>
          <w:lang w:val="en-US" w:eastAsia="en-US" w:bidi="en-US"/>
        </w:rPr>
        <w:t xml:space="preserve">) Carter, a series of papers in the </w:t>
      </w:r>
      <w:r>
        <w:rPr>
          <w:i/>
          <w:iCs/>
          <w:spacing w:val="0"/>
          <w:w w:val="100"/>
          <w:position w:val="0"/>
          <w:shd w:val="clear" w:color="auto" w:fill="auto"/>
          <w:lang w:val="en-US" w:eastAsia="en-US" w:bidi="en-US"/>
        </w:rPr>
        <w:t>Ann. and Mag. Nat. Hist.,</w:t>
      </w:r>
      <w:r>
        <w:rPr>
          <w:spacing w:val="0"/>
          <w:w w:val="100"/>
          <w:position w:val="0"/>
          <w:shd w:val="clear" w:color="auto" w:fill="auto"/>
          <w:lang w:val="en-US" w:eastAsia="en-US" w:bidi="en-US"/>
        </w:rPr>
        <w:t xml:space="preserve"> from 1847 to the present time (1887). (</w:t>
      </w:r>
      <w:r>
        <w:rPr>
          <w:i/>
          <w:iCs/>
          <w:spacing w:val="0"/>
          <w:w w:val="100"/>
          <w:position w:val="0"/>
          <w:shd w:val="clear" w:color="auto" w:fill="auto"/>
          <w:lang w:val="en-US" w:eastAsia="en-US" w:bidi="en-US"/>
        </w:rPr>
        <w:t>4</w:t>
      </w:r>
      <w:r>
        <w:rPr>
          <w:spacing w:val="0"/>
          <w:w w:val="100"/>
          <w:position w:val="0"/>
          <w:shd w:val="clear" w:color="auto" w:fill="auto"/>
          <w:lang w:val="en-US" w:eastAsia="en-US" w:bidi="en-US"/>
        </w:rPr>
        <w:t xml:space="preserve">) J. Clark, </w:t>
      </w:r>
      <w:r>
        <w:rPr>
          <w:i/>
          <w:iCs/>
          <w:spacing w:val="0"/>
          <w:w w:val="100"/>
          <w:position w:val="0"/>
          <w:shd w:val="clear" w:color="auto" w:fill="auto"/>
          <w:lang w:val="en-US" w:eastAsia="en-US" w:bidi="en-US"/>
        </w:rPr>
        <w:t>On the</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Spongiæ ciliatæ </w:t>
      </w:r>
      <w:r>
        <w:rPr>
          <w:i/>
          <w:iCs/>
          <w:spacing w:val="0"/>
          <w:w w:val="100"/>
          <w:position w:val="0"/>
          <w:shd w:val="clear" w:color="auto" w:fill="auto"/>
          <w:lang w:val="en-US" w:eastAsia="en-US" w:bidi="en-US"/>
        </w:rPr>
        <w:t>as</w:t>
      </w:r>
      <w:r>
        <w:rPr>
          <w:spacing w:val="0"/>
          <w:w w:val="100"/>
          <w:position w:val="0"/>
          <w:shd w:val="clear" w:color="auto" w:fill="auto"/>
          <w:lang w:val="en-US" w:eastAsia="en-US" w:bidi="en-US"/>
        </w:rPr>
        <w:t xml:space="preserve"> Infusoria </w:t>
      </w:r>
      <w:r>
        <w:rPr>
          <w:spacing w:val="0"/>
          <w:w w:val="100"/>
          <w:position w:val="0"/>
          <w:shd w:val="clear" w:color="auto" w:fill="auto"/>
          <w:lang w:val="la-001" w:eastAsia="la-001" w:bidi="la-001"/>
        </w:rPr>
        <w:t xml:space="preserve">flagellata, </w:t>
      </w:r>
      <w:r>
        <w:rPr>
          <w:spacing w:val="0"/>
          <w:w w:val="100"/>
          <w:position w:val="0"/>
          <w:shd w:val="clear" w:color="auto" w:fill="auto"/>
          <w:lang w:val="en-US" w:eastAsia="en-US" w:bidi="en-US"/>
        </w:rPr>
        <w:t>1865. (</w:t>
      </w:r>
      <w:r>
        <w:rPr>
          <w:i/>
          <w:iCs/>
          <w:spacing w:val="0"/>
          <w:w w:val="100"/>
          <w:position w:val="0"/>
          <w:shd w:val="clear" w:color="auto" w:fill="auto"/>
          <w:lang w:val="en-US" w:eastAsia="en-US" w:bidi="en-US"/>
        </w:rPr>
        <w:t>5</w:t>
      </w:r>
      <w:r>
        <w:rPr>
          <w:spacing w:val="0"/>
          <w:w w:val="100"/>
          <w:position w:val="0"/>
          <w:shd w:val="clear" w:color="auto" w:fill="auto"/>
          <w:lang w:val="en-US" w:eastAsia="en-US" w:bidi="en-US"/>
        </w:rPr>
        <w:t xml:space="preserve">) Grant, </w:t>
      </w:r>
      <w:r>
        <w:rPr>
          <w:i/>
          <w:iCs/>
          <w:spacing w:val="0"/>
          <w:w w:val="100"/>
          <w:position w:val="0"/>
          <w:shd w:val="clear" w:color="auto" w:fill="auto"/>
          <w:lang w:val="en-US" w:eastAsia="en-US" w:bidi="en-US"/>
        </w:rPr>
        <w:t xml:space="preserve">Edin. Phil. Journ., </w:t>
      </w:r>
      <w:r>
        <w:rPr>
          <w:spacing w:val="0"/>
          <w:w w:val="100"/>
          <w:position w:val="0"/>
          <w:shd w:val="clear" w:color="auto" w:fill="auto"/>
          <w:lang w:val="en-US" w:eastAsia="en-US" w:bidi="en-US"/>
        </w:rPr>
        <w:t xml:space="preserve">1825. </w:t>
      </w:r>
      <w:r>
        <w:rPr>
          <w:spacing w:val="0"/>
          <w:w w:val="100"/>
          <w:position w:val="0"/>
          <w:shd w:val="clear" w:color="auto" w:fill="auto"/>
          <w:lang w:val="el-GR" w:eastAsia="el-GR" w:bidi="el-GR"/>
        </w:rPr>
        <w:t>(</w:t>
      </w:r>
      <w:r>
        <w:rPr>
          <w:i/>
          <w:iCs/>
          <w:spacing w:val="0"/>
          <w:w w:val="100"/>
          <w:position w:val="0"/>
          <w:shd w:val="clear" w:color="auto" w:fill="auto"/>
          <w:lang w:val="el-GR" w:eastAsia="el-GR" w:bidi="el-GR"/>
        </w:rPr>
        <w:t>6</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Haeckel, </w:t>
      </w:r>
      <w:r>
        <w:rPr>
          <w:i/>
          <w:iCs/>
          <w:spacing w:val="0"/>
          <w:w w:val="100"/>
          <w:position w:val="0"/>
          <w:shd w:val="clear" w:color="auto" w:fill="auto"/>
          <w:lang w:val="fr-FR" w:eastAsia="fr-FR" w:bidi="fr-FR"/>
        </w:rPr>
        <w:t xml:space="preserve">Monographie </w:t>
      </w:r>
      <w:r>
        <w:rPr>
          <w:i/>
          <w:iCs/>
          <w:spacing w:val="0"/>
          <w:w w:val="100"/>
          <w:position w:val="0"/>
          <w:shd w:val="clear" w:color="auto" w:fill="auto"/>
          <w:lang w:val="en-US" w:eastAsia="en-US" w:bidi="en-US"/>
        </w:rPr>
        <w:t xml:space="preserve">d. </w:t>
      </w:r>
      <w:r>
        <w:rPr>
          <w:i/>
          <w:iCs/>
          <w:spacing w:val="0"/>
          <w:w w:val="100"/>
          <w:position w:val="0"/>
          <w:shd w:val="clear" w:color="auto" w:fill="auto"/>
          <w:lang w:val="de-DE" w:eastAsia="de-DE" w:bidi="de-DE"/>
        </w:rPr>
        <w:t>Kalkschwämme,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1871. (</w:t>
      </w:r>
      <w:r>
        <w:rPr>
          <w:i/>
          <w:iCs/>
          <w:spacing w:val="0"/>
          <w:w w:val="100"/>
          <w:position w:val="0"/>
          <w:shd w:val="clear" w:color="auto" w:fill="auto"/>
          <w:lang w:val="en-US" w:eastAsia="en-US" w:bidi="en-US"/>
        </w:rPr>
        <w:t>7</w:t>
      </w:r>
      <w:r>
        <w:rPr>
          <w:spacing w:val="0"/>
          <w:w w:val="100"/>
          <w:position w:val="0"/>
          <w:shd w:val="clear" w:color="auto" w:fill="auto"/>
          <w:lang w:val="en-US" w:eastAsia="en-US" w:bidi="en-US"/>
        </w:rPr>
        <w:t xml:space="preserve">) Hinde, </w:t>
      </w:r>
      <w:r>
        <w:rPr>
          <w:i/>
          <w:iCs/>
          <w:spacing w:val="0"/>
          <w:w w:val="100"/>
          <w:position w:val="0"/>
          <w:shd w:val="clear" w:color="auto" w:fill="auto"/>
          <w:lang w:val="en-US" w:eastAsia="en-US" w:bidi="en-US"/>
        </w:rPr>
        <w:t>A Cata</w:t>
        <w:softHyphen/>
        <w:t>logue of the Sponges in the British Museum,</w:t>
      </w:r>
      <w:r>
        <w:rPr>
          <w:spacing w:val="0"/>
          <w:w w:val="100"/>
          <w:position w:val="0"/>
          <w:shd w:val="clear" w:color="auto" w:fill="auto"/>
          <w:lang w:val="en-US" w:eastAsia="en-US" w:bidi="en-US"/>
        </w:rPr>
        <w:t xml:space="preserve"> 18S3. </w:t>
      </w:r>
      <w:r>
        <w:rPr>
          <w:i/>
          <w:iCs/>
          <w:spacing w:val="0"/>
          <w:w w:val="100"/>
          <w:position w:val="0"/>
          <w:shd w:val="clear" w:color="auto" w:fill="auto"/>
          <w:lang w:val="en-US" w:eastAsia="en-US" w:bidi="en-US"/>
        </w:rPr>
        <w:t>(8)</w:t>
      </w:r>
      <w:r>
        <w:rPr>
          <w:spacing w:val="0"/>
          <w:w w:val="100"/>
          <w:position w:val="0"/>
          <w:shd w:val="clear" w:color="auto" w:fill="auto"/>
          <w:lang w:val="en-US" w:eastAsia="en-US" w:bidi="en-US"/>
        </w:rPr>
        <w:t xml:space="preserve"> Id., “On the </w:t>
      </w:r>
      <w:r>
        <w:rPr>
          <w:i/>
          <w:iCs/>
          <w:spacing w:val="0"/>
          <w:w w:val="100"/>
          <w:position w:val="0"/>
          <w:shd w:val="clear" w:color="auto" w:fill="auto"/>
          <w:lang w:val="en-US" w:eastAsia="en-US" w:bidi="en-US"/>
        </w:rPr>
        <w:t>Beceptaculitιd</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Quart. Journ. Geol. Soc.,</w:t>
      </w:r>
      <w:r>
        <w:rPr>
          <w:spacing w:val="0"/>
          <w:w w:val="100"/>
          <w:position w:val="0"/>
          <w:shd w:val="clear" w:color="auto" w:fill="auto"/>
          <w:lang w:val="en-US" w:eastAsia="en-US" w:bidi="en-US"/>
        </w:rPr>
        <w:t xml:space="preserve"> xl. 795, 1884.</w:t>
        <w:tab/>
        <w:t>(</w:t>
      </w:r>
      <w:r>
        <w:rPr>
          <w:i/>
          <w:iCs/>
          <w:spacing w:val="0"/>
          <w:w w:val="100"/>
          <w:position w:val="0"/>
          <w:shd w:val="clear" w:color="auto" w:fill="auto"/>
          <w:lang w:val="en-US" w:eastAsia="en-US" w:bidi="en-US"/>
        </w:rPr>
        <w:t>9</w:t>
      </w:r>
      <w:r>
        <w:rPr>
          <w:spacing w:val="0"/>
          <w:w w:val="100"/>
          <w:position w:val="0"/>
          <w:shd w:val="clear" w:color="auto" w:fill="auto"/>
          <w:lang w:val="en-US" w:eastAsia="en-US" w:bidi="en-US"/>
        </w:rPr>
        <w:t xml:space="preserve">) Keller, </w:t>
      </w:r>
      <w:r>
        <w:rPr>
          <w:spacing w:val="0"/>
          <w:w w:val="100"/>
          <w:position w:val="0"/>
          <w:shd w:val="clear" w:color="auto" w:fill="auto"/>
          <w:lang w:val="de-DE" w:eastAsia="de-DE" w:bidi="de-DE"/>
        </w:rPr>
        <w:t xml:space="preserve">“Studien </w:t>
      </w:r>
      <w:r>
        <w:rPr>
          <w:spacing w:val="0"/>
          <w:w w:val="100"/>
          <w:position w:val="0"/>
          <w:shd w:val="clear" w:color="auto" w:fill="auto"/>
          <w:lang w:val="en-US" w:eastAsia="en-US" w:bidi="en-US"/>
        </w:rPr>
        <w:t>ii. Organisation</w:t>
      </w:r>
    </w:p>
    <w:p>
      <w:pPr>
        <w:pStyle w:val="Style10"/>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 xml:space="preserve">u. </w:t>
      </w:r>
      <w:r>
        <w:rPr>
          <w:spacing w:val="0"/>
          <w:w w:val="100"/>
          <w:position w:val="0"/>
          <w:shd w:val="clear" w:color="auto" w:fill="auto"/>
          <w:lang w:val="de-DE" w:eastAsia="de-DE" w:bidi="de-DE"/>
        </w:rPr>
        <w:t xml:space="preserve">Entwickelung </w:t>
      </w:r>
      <w:r>
        <w:rPr>
          <w:spacing w:val="0"/>
          <w:w w:val="100"/>
          <w:position w:val="0"/>
          <w:shd w:val="clear" w:color="auto" w:fill="auto"/>
          <w:lang w:val="en-US" w:eastAsia="en-US" w:bidi="en-US"/>
        </w:rPr>
        <w:t xml:space="preserve">d. Chalineen,” in </w:t>
      </w:r>
      <w:r>
        <w:rPr>
          <w:i/>
          <w:iCs/>
          <w:spacing w:val="0"/>
          <w:w w:val="100"/>
          <w:position w:val="0"/>
          <w:shd w:val="clear" w:color="auto" w:fill="auto"/>
          <w:lang w:val="en-US" w:eastAsia="en-US" w:bidi="en-US"/>
        </w:rPr>
        <w:t>Ztschr. f. wiss. Zool.,</w:t>
      </w:r>
      <w:r>
        <w:rPr>
          <w:spacing w:val="0"/>
          <w:w w:val="100"/>
          <w:position w:val="0"/>
          <w:shd w:val="clear" w:color="auto" w:fill="auto"/>
          <w:lang w:val="en-US" w:eastAsia="en-US" w:bidi="en-US"/>
        </w:rPr>
        <w:t xml:space="preserve"> xxxiii., 1879. (</w:t>
      </w:r>
      <w:r>
        <w:rPr>
          <w:i/>
          <w:iCs/>
          <w:spacing w:val="0"/>
          <w:w w:val="100"/>
          <w:position w:val="0"/>
          <w:shd w:val="clear" w:color="auto" w:fill="auto"/>
          <w:lang w:val="en-US" w:eastAsia="en-US" w:bidi="en-US"/>
        </w:rPr>
        <w:t>10</w:t>
      </w:r>
      <w:r>
        <w:rPr>
          <w:spacing w:val="0"/>
          <w:w w:val="100"/>
          <w:position w:val="0"/>
          <w:shd w:val="clear" w:color="auto" w:fill="auto"/>
          <w:lang w:val="en-US" w:eastAsia="en-US" w:bidi="en-US"/>
        </w:rPr>
        <w:t xml:space="preserve">) Kent, “Notes on the Embryology of the Sponges,” in </w:t>
      </w:r>
      <w:r>
        <w:rPr>
          <w:i/>
          <w:iCs/>
          <w:spacing w:val="0"/>
          <w:w w:val="100"/>
          <w:position w:val="0"/>
          <w:shd w:val="clear" w:color="auto" w:fill="auto"/>
          <w:lang w:val="en-US" w:eastAsia="en-US" w:bidi="en-US"/>
        </w:rPr>
        <w:t xml:space="preserve">Ann. and Mag. Nat. Hist., </w:t>
      </w:r>
      <w:r>
        <w:rPr>
          <w:spacing w:val="0"/>
          <w:w w:val="100"/>
          <w:position w:val="0"/>
          <w:shd w:val="clear" w:color="auto" w:fill="auto"/>
          <w:lang w:val="en-US" w:eastAsia="en-US" w:bidi="en-US"/>
        </w:rPr>
        <w:t>1878, ii. 139. (</w:t>
      </w:r>
      <w:r>
        <w:rPr>
          <w:i/>
          <w:iCs/>
          <w:spacing w:val="0"/>
          <w:w w:val="100"/>
          <w:position w:val="0"/>
          <w:shd w:val="clear" w:color="auto" w:fill="auto"/>
          <w:lang w:val="en-US" w:eastAsia="en-US" w:bidi="en-US"/>
        </w:rPr>
        <w:t>11</w:t>
      </w:r>
      <w:r>
        <w:rPr>
          <w:spacing w:val="0"/>
          <w:w w:val="100"/>
          <w:position w:val="0"/>
          <w:shd w:val="clear" w:color="auto" w:fill="auto"/>
          <w:lang w:val="en-US" w:eastAsia="en-US" w:bidi="en-US"/>
        </w:rPr>
        <w:t xml:space="preserve">) Von </w:t>
      </w:r>
      <w:r>
        <w:rPr>
          <w:spacing w:val="0"/>
          <w:w w:val="100"/>
          <w:position w:val="0"/>
          <w:shd w:val="clear" w:color="auto" w:fill="auto"/>
          <w:lang w:val="de-DE" w:eastAsia="de-DE" w:bidi="de-DE"/>
        </w:rPr>
        <w:t xml:space="preserve">Lendenfeld, </w:t>
      </w:r>
      <w:r>
        <w:rPr>
          <w:spacing w:val="0"/>
          <w:w w:val="100"/>
          <w:position w:val="0"/>
          <w:shd w:val="clear" w:color="auto" w:fill="auto"/>
          <w:lang w:val="en-US" w:eastAsia="en-US" w:bidi="en-US"/>
        </w:rPr>
        <w:t xml:space="preserve">“On </w:t>
      </w:r>
      <w:r>
        <w:rPr>
          <w:i/>
          <w:iCs/>
          <w:spacing w:val="0"/>
          <w:w w:val="100"/>
          <w:position w:val="0"/>
          <w:shd w:val="clear" w:color="auto" w:fill="auto"/>
          <w:lang w:val="en-US" w:eastAsia="en-US" w:bidi="en-US"/>
        </w:rPr>
        <w:t>Aplysillid«."</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 xml:space="preserve">Ztschr.  f. wiss. Zool., </w:t>
      </w:r>
      <w:r>
        <w:rPr>
          <w:spacing w:val="0"/>
          <w:w w:val="100"/>
          <w:position w:val="0"/>
          <w:shd w:val="clear" w:color="auto" w:fill="auto"/>
          <w:lang w:val="en-US" w:eastAsia="en-US" w:bidi="en-US"/>
        </w:rPr>
        <w:t>xxxviii. (</w:t>
      </w:r>
      <w:r>
        <w:rPr>
          <w:i/>
          <w:iCs/>
          <w:spacing w:val="0"/>
          <w:w w:val="100"/>
          <w:position w:val="0"/>
          <w:shd w:val="clear" w:color="auto" w:fill="auto"/>
          <w:lang w:val="en-US" w:eastAsia="en-US" w:bidi="en-US"/>
        </w:rPr>
        <w:t>12</w:t>
      </w:r>
      <w:r>
        <w:rPr>
          <w:spacing w:val="0"/>
          <w:w w:val="100"/>
          <w:position w:val="0"/>
          <w:shd w:val="clear" w:color="auto" w:fill="auto"/>
          <w:lang w:val="en-US" w:eastAsia="en-US" w:bidi="en-US"/>
        </w:rPr>
        <w:t xml:space="preserve">) Id., “A Monograph of Australian Sponges,” in </w:t>
      </w:r>
      <w:r>
        <w:rPr>
          <w:i/>
          <w:iCs/>
          <w:spacing w:val="0"/>
          <w:w w:val="100"/>
          <w:position w:val="0"/>
          <w:shd w:val="clear" w:color="auto" w:fill="auto"/>
          <w:lang w:val="en-US" w:eastAsia="en-US" w:bidi="en-US"/>
        </w:rPr>
        <w:t>Proc. Linn. Soc., N.S. IVales,</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vois. </w:t>
      </w:r>
      <w:r>
        <w:rPr>
          <w:spacing w:val="0"/>
          <w:w w:val="100"/>
          <w:position w:val="0"/>
          <w:shd w:val="clear" w:color="auto" w:fill="auto"/>
          <w:lang w:val="en-US" w:eastAsia="en-US" w:bidi="en-US"/>
        </w:rPr>
        <w:t xml:space="preserve">ix., x. (other papers by Von </w:t>
      </w:r>
      <w:r>
        <w:rPr>
          <w:spacing w:val="0"/>
          <w:w w:val="100"/>
          <w:position w:val="0"/>
          <w:shd w:val="clear" w:color="auto" w:fill="auto"/>
          <w:lang w:val="de-DE" w:eastAsia="de-DE" w:bidi="de-DE"/>
        </w:rPr>
        <w:t xml:space="preserve">Lendenfeld </w:t>
      </w:r>
      <w:r>
        <w:rPr>
          <w:spacing w:val="0"/>
          <w:w w:val="100"/>
          <w:position w:val="0"/>
          <w:shd w:val="clear" w:color="auto" w:fill="auto"/>
          <w:lang w:val="en-US" w:eastAsia="en-US" w:bidi="en-US"/>
        </w:rPr>
        <w:t xml:space="preserve">will be found under this reference, and also in the </w:t>
      </w:r>
      <w:r>
        <w:rPr>
          <w:i/>
          <w:iCs/>
          <w:spacing w:val="0"/>
          <w:w w:val="100"/>
          <w:position w:val="0"/>
          <w:shd w:val="clear" w:color="auto" w:fill="auto"/>
          <w:lang w:val="en-US" w:eastAsia="en-US" w:bidi="en-US"/>
        </w:rPr>
        <w:t xml:space="preserve">Zool. </w:t>
      </w:r>
      <w:r>
        <w:rPr>
          <w:i/>
          <w:iCs/>
          <w:spacing w:val="0"/>
          <w:w w:val="100"/>
          <w:position w:val="0"/>
          <w:shd w:val="clear" w:color="auto" w:fill="auto"/>
          <w:lang w:val="de-DE" w:eastAsia="de-DE" w:bidi="de-DE"/>
        </w:rPr>
        <w:t>Anzeiger). (13</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Lieberkühn, </w:t>
      </w:r>
      <w:r>
        <w:rPr>
          <w:spacing w:val="0"/>
          <w:w w:val="100"/>
          <w:position w:val="0"/>
          <w:shd w:val="clear" w:color="auto" w:fill="auto"/>
          <w:lang w:val="en-US" w:eastAsia="en-US" w:bidi="en-US"/>
        </w:rPr>
        <w:t xml:space="preserve">Developmental History of </w:t>
      </w:r>
      <w:r>
        <w:rPr>
          <w:i/>
          <w:iCs/>
          <w:spacing w:val="0"/>
          <w:w w:val="100"/>
          <w:position w:val="0"/>
          <w:shd w:val="clear" w:color="auto" w:fill="auto"/>
          <w:lang w:val="en-US" w:eastAsia="en-US" w:bidi="en-US"/>
        </w:rPr>
        <w:t>Spongilla,"</w:t>
      </w:r>
      <w:r>
        <w:rPr>
          <w:spacing w:val="0"/>
          <w:w w:val="100"/>
          <w:position w:val="0"/>
          <w:shd w:val="clear" w:color="auto" w:fill="auto"/>
          <w:lang w:val="en-US" w:eastAsia="en-US" w:bidi="en-US"/>
        </w:rPr>
        <w:t xml:space="preserve"> in </w:t>
      </w:r>
      <w:r>
        <w:rPr>
          <w:i/>
          <w:iCs/>
          <w:spacing w:val="0"/>
          <w:w w:val="100"/>
          <w:position w:val="0"/>
          <w:shd w:val="clear" w:color="auto" w:fill="auto"/>
          <w:lang w:val="de-DE" w:eastAsia="de-DE" w:bidi="de-DE"/>
        </w:rPr>
        <w:t>Müll. Archiv,</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1856. (</w:t>
      </w:r>
      <w:r>
        <w:rPr>
          <w:i/>
          <w:iCs/>
          <w:spacing w:val="0"/>
          <w:w w:val="100"/>
          <w:position w:val="0"/>
          <w:shd w:val="clear" w:color="auto" w:fill="auto"/>
          <w:lang w:val="en-US" w:eastAsia="en-US" w:bidi="en-US"/>
        </w:rPr>
        <w:t>14</w:t>
      </w:r>
      <w:r>
        <w:rPr>
          <w:spacing w:val="0"/>
          <w:w w:val="100"/>
          <w:position w:val="0"/>
          <w:shd w:val="clear" w:color="auto" w:fill="auto"/>
          <w:lang w:val="en-US" w:eastAsia="en-US" w:bidi="en-US"/>
        </w:rPr>
        <w:t xml:space="preserve">) Marshall, </w:t>
      </w:r>
      <w:r>
        <w:rPr>
          <w:i/>
          <w:iCs/>
          <w:spacing w:val="0"/>
          <w:w w:val="100"/>
          <w:position w:val="0"/>
          <w:shd w:val="clear" w:color="auto" w:fill="auto"/>
          <w:lang w:val="en-US" w:eastAsia="en-US" w:bidi="en-US"/>
        </w:rPr>
        <w:t xml:space="preserve">Genaische Ztschr., </w:t>
      </w:r>
      <w:r>
        <w:rPr>
          <w:spacing w:val="0"/>
          <w:w w:val="100"/>
          <w:position w:val="0"/>
          <w:shd w:val="clear" w:color="auto" w:fill="auto"/>
          <w:lang w:val="en-US" w:eastAsia="en-US" w:bidi="en-US"/>
        </w:rPr>
        <w:t xml:space="preserve">xviii., 1885 (translated in </w:t>
      </w:r>
      <w:r>
        <w:rPr>
          <w:i/>
          <w:iCs/>
          <w:spacing w:val="0"/>
          <w:w w:val="100"/>
          <w:position w:val="0"/>
          <w:shd w:val="clear" w:color="auto" w:fill="auto"/>
          <w:lang w:val="en-US" w:eastAsia="en-US" w:bidi="en-US"/>
        </w:rPr>
        <w:t>Ann. and Mag. Nat. Hist.). (15)</w:t>
      </w:r>
      <w:r>
        <w:rPr>
          <w:spacing w:val="0"/>
          <w:w w:val="100"/>
          <w:position w:val="0"/>
          <w:shd w:val="clear" w:color="auto" w:fill="auto"/>
          <w:lang w:val="en-US" w:eastAsia="en-US" w:bidi="en-US"/>
        </w:rPr>
        <w:t xml:space="preserve"> Polejaeff, On </w:t>
      </w:r>
      <w:r>
        <w:rPr>
          <w:spacing w:val="0"/>
          <w:w w:val="100"/>
          <w:position w:val="0"/>
          <w:shd w:val="clear" w:color="auto" w:fill="auto"/>
          <w:lang w:val="de-DE" w:eastAsia="de-DE" w:bidi="de-DE"/>
        </w:rPr>
        <w:t xml:space="preserve">Sperma </w:t>
      </w:r>
      <w:r>
        <w:rPr>
          <w:spacing w:val="0"/>
          <w:w w:val="100"/>
          <w:position w:val="0"/>
          <w:shd w:val="clear" w:color="auto" w:fill="auto"/>
          <w:lang w:val="en-US" w:eastAsia="en-US" w:bidi="en-US"/>
        </w:rPr>
        <w:t xml:space="preserve">and Spermatogenesis in </w:t>
      </w:r>
      <w:r>
        <w:rPr>
          <w:i/>
          <w:iCs/>
          <w:spacing w:val="0"/>
          <w:w w:val="100"/>
          <w:position w:val="0"/>
          <w:shd w:val="clear" w:color="auto" w:fill="auto"/>
          <w:lang w:val="en-US" w:eastAsia="en-US" w:bidi="en-US"/>
        </w:rPr>
        <w:t xml:space="preserve">Sycandra </w:t>
      </w:r>
      <w:r>
        <w:rPr>
          <w:i/>
          <w:iCs/>
          <w:spacing w:val="0"/>
          <w:w w:val="100"/>
          <w:position w:val="0"/>
          <w:shd w:val="clear" w:color="auto" w:fill="auto"/>
          <w:lang w:val="la-001" w:eastAsia="la-001" w:bidi="la-001"/>
        </w:rPr>
        <w:t>raphanus,"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w:t>
      </w:r>
      <w:r>
        <w:rPr>
          <w:i/>
          <w:iCs/>
          <w:spacing w:val="0"/>
          <w:w w:val="100"/>
          <w:position w:val="0"/>
          <w:shd w:val="clear" w:color="auto" w:fill="auto"/>
          <w:lang w:val="de-DE" w:eastAsia="de-DE" w:bidi="de-DE"/>
        </w:rPr>
        <w:t>Sitz.</w:t>
      </w:r>
      <w:r>
        <w:rPr>
          <w:i/>
          <w:iCs/>
          <w:spacing w:val="0"/>
          <w:w w:val="100"/>
          <w:position w:val="0"/>
          <w:shd w:val="clear" w:color="auto" w:fill="auto"/>
          <w:lang w:val="en-US" w:eastAsia="en-US" w:bidi="en-US"/>
        </w:rPr>
        <w:t>-Ber. Acad. wiss. Zool.,</w:t>
      </w:r>
    </w:p>
    <w:sectPr>
      <w:footnotePr>
        <w:pos w:val="pageBottom"/>
        <w:numFmt w:val="decimal"/>
        <w:numRestart w:val="continuous"/>
      </w:footnotePr>
      <w:pgSz w:w="12240" w:h="16840"/>
      <w:pgMar w:top="1767" w:left="1423" w:right="1445" w:bottom="12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10">
    <w:name w:val="Body text"/>
    <w:basedOn w:val="Normal"/>
    <w:link w:val="CharStyle11"/>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