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retained by Watt, and for many years it remained a favourite with builders of engines of the larger class. The beam formed a convenient driver for pump-rods and valve- rods ; and the parallel motion invented by Watt as a means of guiding the piston-rod, which could easily be applied to a beam-engine, was, in the early days of engine- building, an easier thing to construct than the plane surfaces which are the natural guides of the piston-rod in a direct-acting engine. In modern practice the direct- acting type has to a very great extent displaced the beam type. For mill-driving and the general purposes of a rota</w:t>
        <w:softHyphen/>
        <w:t>tive engine the beam type is now rarely chosen. In pumping engines it is more common, but even there the tendency is to use direct-acting forms.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193. The only distinctive feature of beam-engines requir</w:t>
        <w:softHyphen/>
        <w:t>ing special notice here is the “ parallel motion,” an ordinary form of which is shown diagram</w:t>
        <w:softHyphen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matically in fig. 119. There MN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path in which the piston-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rod head, or crosshead, as it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often called, is to be guided.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ABC is the middle line of half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beam, C being the fixed centre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about which the beam oscillates.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link BD connects a point in the beam with a radius link ED, which oscillates about a fixed centre at E. A point P in BD, taken so that BP : DP :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CM, moves in a path which coincides very closely with the straight line MPN. Any other point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line CP or CP produced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below it, the guiding surfaces at Q are avoided, but the path of P is then only very nearly straight. An example of the linkage in this form, with the further modification that A is shifted out, and B is brought nearer to P, occurs in the pumping engine of fig. 130 below.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by far the greater number of modern steam-engines the crosshead is guided by a block sliding on planed sur</w:t>
        <w:softHyphen/>
        <w:t>faces. In many beam-engines, even, this plan of guiding the piston has taken the place of the parallel motion.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made to copy this motion by means of the links AF and FG, parallel to BD and AC. In the ordinary application of the parallel motion a point such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point of attach</w:t>
        <w:softHyphen/>
        <w:t>ment of the piston-rod, and P is used to drive a pump-rod. Other points in the line CP produced are occasionally made use of, by adding other links parallel to AC and BD.@@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Watt’s linkage gives no more than an approximation to straight-line motion, but in a well-designed example the amount of deviation need not exceed one four-thousandth of the length of stroke. It was for long believed that the production of an exact straight-line motion by pure linkage was impossible, until the problem was solved by the invention of the Peaucellier cell.@@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Peaucellier linkage has not been applied to the steam-engine, except in isolated cases.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194. Another “ parallel motion ” which has been used in steam-engines is shown in fig. 120. AB is a link pivoted on a fixed centre at A, and connected to the middle of another link PQ, which is twice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length of AB. Q is guided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move in a straight line in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direction of AQ. P then moves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an exact straight line through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This is not a pure linkage,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 Q slides in a fixed guide,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the distance through which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 has to be guided is small compared with the stroke of P. If Q is guided to move in the arc of a circle of large radius, by using a radius rod from a fixed centre above or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195. No type of steam-engine is so common as the horizontal direct-acting. A small engine of this type, made by Messrs Tangye, and rated as a 10-horse-power engine, is illustrated in figs. 121 to 124. It furnishes a good example of a very numerous class, and serves to illustrate the principal parts of a complete engine. Fig. 121 is a side elevation, fig. 122 a plan, fig. 123 a transverse section through the bedplate in front of the cylinder, on the line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kinematics of the parallel motion are discussed in Rankine’s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Machinery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Mill Wark,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275, aud rules are given for the proportions and positions of the parts.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Kempe’s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to Draw a Straight Line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(“Nature Series,"), 1877.</w:t>
      </w:r>
    </w:p>
    <w:sectPr>
      <w:footnotePr>
        <w:pos w:val="pageBottom"/>
        <w:numFmt w:val="decimal"/>
        <w:numRestart w:val="continuous"/>
      </w:footnotePr>
      <w:pgSz w:w="12240" w:h="16840"/>
      <w:pgMar w:top="1338" w:left="1394" w:right="1432" w:bottom="171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Body text (4)_"/>
    <w:basedOn w:val="DefaultParagraphFont"/>
    <w:link w:val="Style5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Body text (5)_"/>
    <w:basedOn w:val="DefaultParagraphFont"/>
    <w:link w:val="Style7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FFFFFF"/>
      <w:spacing w:line="202" w:lineRule="auto"/>
      <w:ind w:firstLine="220"/>
      <w:jc w:val="both"/>
    </w:pPr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Body text (5)"/>
    <w:basedOn w:val="Normal"/>
    <w:link w:val="CharStyle8"/>
    <w:pPr>
      <w:widowControl w:val="0"/>
      <w:shd w:val="clear" w:color="auto" w:fill="FFFFFF"/>
      <w:spacing w:line="178" w:lineRule="auto"/>
      <w:ind w:firstLine="160"/>
      <w:jc w:val="both"/>
    </w:pPr>
    <w:rPr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