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life were secured rather by the institution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pheiditia </w:t>
      </w:r>
      <w:r>
        <w:rPr>
          <w:rFonts w:ascii="Times New Roman" w:eastAsia="Times New Roman" w:hAnsi="Times New Roman" w:cs="Times New Roman"/>
          <w:color w:val="000000"/>
          <w:spacing w:val="0"/>
          <w:w w:val="100"/>
          <w:position w:val="0"/>
          <w:shd w:val="clear" w:color="auto" w:fill="auto"/>
          <w:lang w:val="en-US" w:eastAsia="en-US" w:bidi="en-US"/>
        </w:rPr>
        <w:t xml:space="preserve">(public meals) than by special enactments. The possession of gold or silver was interdicted to the citizens of Sparta, and the use of iron money alone was permitted by the Lycurgean legislation. “Even in the cities which had early departed from the Doric customs,” says K. O. </w:t>
      </w:r>
      <w:r>
        <w:rPr>
          <w:rFonts w:ascii="Times New Roman" w:eastAsia="Times New Roman" w:hAnsi="Times New Roman" w:cs="Times New Roman"/>
          <w:color w:val="000000"/>
          <w:spacing w:val="0"/>
          <w:w w:val="100"/>
          <w:position w:val="0"/>
          <w:shd w:val="clear" w:color="auto" w:fill="auto"/>
          <w:lang w:val="de-DE" w:eastAsia="de-DE" w:bidi="de-DE"/>
        </w:rPr>
        <w:t xml:space="preserve">Müller, </w:t>
      </w:r>
      <w:r>
        <w:rPr>
          <w:rFonts w:ascii="Times New Roman" w:eastAsia="Times New Roman" w:hAnsi="Times New Roman" w:cs="Times New Roman"/>
          <w:color w:val="000000"/>
          <w:spacing w:val="0"/>
          <w:w w:val="100"/>
          <w:position w:val="0"/>
          <w:shd w:val="clear" w:color="auto" w:fill="auto"/>
          <w:lang w:val="en-US" w:eastAsia="en-US" w:bidi="en-US"/>
        </w:rPr>
        <w:t>“ there were frequent and strict prohibitions against ex</w:t>
        <w:softHyphen/>
        <w:t xml:space="preserve">pensiveness of female attire, prostitutes alone being wisely excepted.” In the Locrian code of </w:t>
      </w:r>
      <w:r>
        <w:rPr>
          <w:rFonts w:ascii="Times New Roman" w:eastAsia="Times New Roman" w:hAnsi="Times New Roman" w:cs="Times New Roman"/>
          <w:color w:val="000000"/>
          <w:spacing w:val="0"/>
          <w:w w:val="100"/>
          <w:position w:val="0"/>
          <w:shd w:val="clear" w:color="auto" w:fill="auto"/>
          <w:lang w:val="la-001" w:eastAsia="la-001" w:bidi="la-001"/>
        </w:rPr>
        <w:t xml:space="preserve">Zaleucus </w:t>
      </w:r>
      <w:r>
        <w:rPr>
          <w:rFonts w:ascii="Times New Roman" w:eastAsia="Times New Roman" w:hAnsi="Times New Roman" w:cs="Times New Roman"/>
          <w:color w:val="000000"/>
          <w:spacing w:val="0"/>
          <w:w w:val="100"/>
          <w:position w:val="0"/>
          <w:shd w:val="clear" w:color="auto" w:fill="auto"/>
          <w:lang w:val="en-US" w:eastAsia="en-US" w:bidi="en-US"/>
        </w:rPr>
        <w:t>citizens were forbidden to drink undiluted wine. The Solonian sump</w:t>
        <w:softHyphen/>
        <w:t>tuary enactments were directed principally against the extravagance of female apparel and dowries of excessive amount ; costly banquets also were forbidden, and expen</w:t>
        <w:softHyphen/>
        <w:t>sive funeral solemnities. The Pythagoreans in Magna Gracia not only protested against the luxury of their time but encouraged legislation with a view to restraining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Rome the system of sumptuary edicts and enactments was largely developed, whilst the objects of such legisla</w:t>
        <w:softHyphen/>
        <w:t xml:space="preserve">tion were concurrently sought to be attained through the exercise of the censorial power. The code of the Twelve Tables contained provisions limiting the expenditure on funerals. The most important sumptuary laws of the Roman commonwealth were those which follow. (1) The Oppian law, 215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provided that no woman should possess more than half an ounce of gold, or wear a dress of different colours, or ride in a carriage in the city or within a mile of it except on occasions of public religious ceremonies. This law, which had been partly dictated by the financial necessities of the conflict with Hannibal, was repealed twenty years later, against the advice of Cato. Livy (xxxiv. 1-8) gives an interesting account of the com</w:t>
        <w:softHyphen/>
        <w:t xml:space="preserve">motion excited by the proposal of the repeal, and of the exertions of the Roman women against the law, which almost amounted to a female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émeute.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Orchian law, 187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limited the number of guests at entertain</w:t>
        <w:softHyphen/>
        <w:t xml:space="preserve">ments. An attempt being made to repeal this law, Cato offered strong opposition and delivered a speech on the subject, of which some fragments have been preserved. (3) The Fannian law, 161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limited the sums to be spent on entertainments ; it provided amongst other things that no fowl should be served but a single hen, and that not fattened. (4) The Didian law, 143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ex</w:t>
        <w:softHyphen/>
        <w:t>tended to the whole of Italy the provisions of the Fannian law, and made the guests as well as the givers of entertain</w:t>
        <w:softHyphen/>
        <w:t>ments at which the law was violated liable to the penalties. After a considerable interval, Sulla anew directed legisla</w:t>
        <w:softHyphen/>
        <w:t>tion against the luxury of the table and also limited the cost of funerals and of sepulchral monuments. We are told that he violated his own law as to funerals when bury</w:t>
        <w:softHyphen/>
        <w:t xml:space="preserve">ing his wife </w:t>
      </w:r>
      <w:r>
        <w:rPr>
          <w:rFonts w:ascii="Times New Roman" w:eastAsia="Times New Roman" w:hAnsi="Times New Roman" w:cs="Times New Roman"/>
          <w:color w:val="000000"/>
          <w:spacing w:val="0"/>
          <w:w w:val="100"/>
          <w:position w:val="0"/>
          <w:shd w:val="clear" w:color="auto" w:fill="auto"/>
          <w:lang w:val="la-001" w:eastAsia="la-001" w:bidi="la-001"/>
        </w:rPr>
        <w:t xml:space="preserve">Metella, </w:t>
      </w:r>
      <w:r>
        <w:rPr>
          <w:rFonts w:ascii="Times New Roman" w:eastAsia="Times New Roman" w:hAnsi="Times New Roman" w:cs="Times New Roman"/>
          <w:color w:val="000000"/>
          <w:spacing w:val="0"/>
          <w:w w:val="100"/>
          <w:position w:val="0"/>
          <w:shd w:val="clear" w:color="auto" w:fill="auto"/>
          <w:lang w:val="en-US" w:eastAsia="en-US" w:bidi="en-US"/>
        </w:rPr>
        <w:t xml:space="preserve">and also his law on entertainments when seeking to forget his grief for her loss in extravagant drinking and feasting (Plut., </w:t>
      </w:r>
      <w:r>
        <w:rPr>
          <w:rFonts w:ascii="Times New Roman" w:eastAsia="Times New Roman" w:hAnsi="Times New Roman" w:cs="Times New Roman"/>
          <w:i/>
          <w:iCs/>
          <w:color w:val="000000"/>
          <w:spacing w:val="0"/>
          <w:w w:val="100"/>
          <w:position w:val="0"/>
          <w:shd w:val="clear" w:color="auto" w:fill="auto"/>
          <w:lang w:val="en-US" w:eastAsia="en-US" w:bidi="en-US"/>
        </w:rPr>
        <w:t>Sull.,</w:t>
      </w:r>
      <w:r>
        <w:rPr>
          <w:rFonts w:ascii="Times New Roman" w:eastAsia="Times New Roman" w:hAnsi="Times New Roman" w:cs="Times New Roman"/>
          <w:color w:val="000000"/>
          <w:spacing w:val="0"/>
          <w:w w:val="100"/>
          <w:position w:val="0"/>
          <w:shd w:val="clear" w:color="auto" w:fill="auto"/>
          <w:lang w:val="en-US" w:eastAsia="en-US" w:bidi="en-US"/>
        </w:rPr>
        <w:t xml:space="preserve"> 35).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in the capacity of </w:t>
      </w:r>
      <w:r>
        <w:rPr>
          <w:rFonts w:ascii="Times New Roman" w:eastAsia="Times New Roman" w:hAnsi="Times New Roman" w:cs="Times New Roman"/>
          <w:i/>
          <w:iCs/>
          <w:color w:val="000000"/>
          <w:spacing w:val="0"/>
          <w:w w:val="100"/>
          <w:position w:val="0"/>
          <w:shd w:val="clear" w:color="auto" w:fill="auto"/>
          <w:lang w:val="la-001" w:eastAsia="la-001" w:bidi="la-001"/>
        </w:rPr>
        <w:t>praefectus moribus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African war re-enacted some of the sumptuary laws which had fallen into neglect ; Cicero implies </w:t>
      </w:r>
      <w:r>
        <w:rPr>
          <w:rFonts w:ascii="Times New Roman" w:eastAsia="Times New Roman" w:hAnsi="Times New Roman" w:cs="Times New Roman"/>
          <w:i/>
          <w:iCs/>
          <w:color w:val="000000"/>
          <w:spacing w:val="0"/>
          <w:w w:val="100"/>
          <w:position w:val="0"/>
          <w:shd w:val="clear" w:color="auto" w:fill="auto"/>
          <w:lang w:val="en-US" w:eastAsia="en-US" w:bidi="en-US"/>
        </w:rPr>
        <w:t>{fEp. ad Att.,</w:t>
      </w:r>
      <w:r>
        <w:rPr>
          <w:rFonts w:ascii="Times New Roman" w:eastAsia="Times New Roman" w:hAnsi="Times New Roman" w:cs="Times New Roman"/>
          <w:color w:val="000000"/>
          <w:spacing w:val="0"/>
          <w:w w:val="100"/>
          <w:position w:val="0"/>
          <w:shd w:val="clear" w:color="auto" w:fill="auto"/>
          <w:lang w:val="en-US" w:eastAsia="en-US" w:bidi="en-US"/>
        </w:rPr>
        <w:t xml:space="preserve"> xiii. 7) that in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color w:val="000000"/>
          <w:spacing w:val="0"/>
          <w:w w:val="100"/>
          <w:position w:val="0"/>
          <w:shd w:val="clear" w:color="auto" w:fill="auto"/>
          <w:lang w:val="en-US" w:eastAsia="en-US" w:bidi="en-US"/>
        </w:rPr>
        <w:t>absence his legislation of this kind was not at</w:t>
        <w:softHyphen/>
        <w:t xml:space="preserve">tended to. Suetonius tells us that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had officers stationed in the market-places to seize such provisions as were forbidden by law, and sent lictors and soldiers to feasts to remove all illegal eatables </w:t>
      </w:r>
      <w:r>
        <w:rPr>
          <w:rFonts w:ascii="Times New Roman" w:eastAsia="Times New Roman" w:hAnsi="Times New Roman" w:cs="Times New Roman"/>
          <w:i/>
          <w:iCs/>
          <w:color w:val="000000"/>
          <w:spacing w:val="0"/>
          <w:w w:val="100"/>
          <w:position w:val="0"/>
          <w:shd w:val="clear" w:color="auto" w:fill="auto"/>
          <w:lang w:val="en-US" w:eastAsia="en-US" w:bidi="en-US"/>
        </w:rPr>
        <w:t>(Jul.,</w:t>
      </w:r>
      <w:r>
        <w:rPr>
          <w:rFonts w:ascii="Times New Roman" w:eastAsia="Times New Roman" w:hAnsi="Times New Roman" w:cs="Times New Roman"/>
          <w:color w:val="000000"/>
          <w:spacing w:val="0"/>
          <w:w w:val="100"/>
          <w:position w:val="0"/>
          <w:shd w:val="clear" w:color="auto" w:fill="auto"/>
          <w:lang w:val="en-US" w:eastAsia="en-US" w:bidi="en-US"/>
        </w:rPr>
        <w:t xml:space="preserve"> 43). Augustus fixed anew the expense to be incurred in entertainments on ordinary and festal days. Tiberius also sought to check inordinate expense on banquets, and a decree of the senate was passed in his reign forbidding the use of gold vases except in sacred rites, and prohibiting the wearing of silk garments by men. But it appears from Tacitus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iii. 5, where a speech is put into his mouth very much in the spirit of Horace’s “ Quid leges sine </w:t>
      </w:r>
      <w:r>
        <w:rPr>
          <w:rFonts w:ascii="Times New Roman" w:eastAsia="Times New Roman" w:hAnsi="Times New Roman" w:cs="Times New Roman"/>
          <w:color w:val="000000"/>
          <w:spacing w:val="0"/>
          <w:w w:val="100"/>
          <w:position w:val="0"/>
          <w:shd w:val="clear" w:color="auto" w:fill="auto"/>
          <w:lang w:val="la-001" w:eastAsia="la-001" w:bidi="la-001"/>
        </w:rPr>
        <w:t xml:space="preserve">moribus </w:t>
      </w:r>
      <w:r>
        <w:rPr>
          <w:rFonts w:ascii="Times New Roman" w:eastAsia="Times New Roman" w:hAnsi="Times New Roman" w:cs="Times New Roman"/>
          <w:color w:val="000000"/>
          <w:spacing w:val="0"/>
          <w:w w:val="100"/>
          <w:position w:val="0"/>
          <w:shd w:val="clear" w:color="auto" w:fill="auto"/>
          <w:lang w:val="fr-FR" w:eastAsia="fr-FR" w:bidi="fr-FR"/>
        </w:rPr>
        <w:t xml:space="preserve">Vanæ </w:t>
      </w:r>
      <w:r>
        <w:rPr>
          <w:rFonts w:ascii="Times New Roman" w:eastAsia="Times New Roman" w:hAnsi="Times New Roman" w:cs="Times New Roman"/>
          <w:color w:val="000000"/>
          <w:spacing w:val="0"/>
          <w:w w:val="100"/>
          <w:position w:val="0"/>
          <w:shd w:val="clear" w:color="auto" w:fill="auto"/>
          <w:lang w:val="la-001" w:eastAsia="la-001" w:bidi="la-001"/>
        </w:rPr>
        <w:t xml:space="preserve">proficiunt </w:t>
      </w:r>
      <w:r>
        <w:rPr>
          <w:rFonts w:ascii="Times New Roman" w:eastAsia="Times New Roman" w:hAnsi="Times New Roman" w:cs="Times New Roman"/>
          <w:color w:val="000000"/>
          <w:spacing w:val="0"/>
          <w:w w:val="100"/>
          <w:position w:val="0"/>
          <w:shd w:val="clear" w:color="auto" w:fill="auto"/>
          <w:lang w:val="en-US" w:eastAsia="en-US" w:bidi="en-US"/>
        </w:rPr>
        <w:t>? ”), that he looked more to the improvement of manners than to direct legislative action for the restriction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luxury. Suetonius mentions some regulations made by Nero, and we hear of further legislation of this kind by Hadrian and later emperors. In the time of Tertullian the sumptuary laws appear to have been things of the past </w:t>
      </w:r>
      <w:r>
        <w:rPr>
          <w:rFonts w:ascii="Times New Roman" w:eastAsia="Times New Roman" w:hAnsi="Times New Roman" w:cs="Times New Roman"/>
          <w:i/>
          <w:iCs/>
          <w:color w:val="000000"/>
          <w:spacing w:val="0"/>
          <w:w w:val="100"/>
          <w:position w:val="0"/>
          <w:shd w:val="clear" w:color="auto" w:fill="auto"/>
          <w:lang w:val="en-US" w:eastAsia="en-US" w:bidi="en-US"/>
        </w:rPr>
        <w:t>(Apol.,</w:t>
      </w:r>
      <w:r>
        <w:rPr>
          <w:rFonts w:ascii="Times New Roman" w:eastAsia="Times New Roman" w:hAnsi="Times New Roman" w:cs="Times New Roman"/>
          <w:color w:val="000000"/>
          <w:spacing w:val="0"/>
          <w:w w:val="100"/>
          <w:position w:val="0"/>
          <w:shd w:val="clear" w:color="auto" w:fill="auto"/>
          <w:lang w:val="en-US" w:eastAsia="en-US" w:bidi="en-US"/>
        </w:rPr>
        <w:t xml:space="preserve"> c. vi.).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modern times the first important sumptuary legisla</w:t>
        <w:softHyphen/>
        <w:t>tion was—in Italy that of Frederick II. ; in Aragon that of James I., in 1234; in France that of Philip IV.; in Eng</w:t>
        <w:softHyphen/>
        <w:t>land that of Edward II. and Edward III. In 1294 Philip IV. made provisions as to the dress and the table expendi</w:t>
        <w:softHyphen/>
        <w:t xml:space="preserve">ture of the several orders of men in his kingdom, the most remarkable of which may be seen in Guizot’s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Civilisation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leç. </w:t>
      </w:r>
      <w:r>
        <w:rPr>
          <w:rFonts w:ascii="Times New Roman" w:eastAsia="Times New Roman" w:hAnsi="Times New Roman" w:cs="Times New Roman"/>
          <w:color w:val="000000"/>
          <w:spacing w:val="0"/>
          <w:w w:val="100"/>
          <w:position w:val="0"/>
          <w:shd w:val="clear" w:color="auto" w:fill="auto"/>
          <w:lang w:val="en-US" w:eastAsia="en-US" w:bidi="en-US"/>
        </w:rPr>
        <w:t>15. Charles V. of France forbade the use of long-pointed shoes, a fashion against which popes and councils had protested in vain. Under later kings the use of gold and silver embroidery, silk stuffs, and fine linen wares was restricted,—at first moral and afterwards economic motives being put forward, the latter especially from the rise of the mercantile theory. In England we hear much from the writers of the 14th century of the extravagance of dress at that period. They remark both on the great splendour and expensiveness of the apparel of the higher orders and on the fantastic and deforming fashions adopted by persons of all ranks. The parliament held at West</w:t>
        <w:softHyphen/>
        <w:t>minster in 1363 made laws (37 Edw. III. c. 8-14) to restrain this undue expenditure and to regulate the dress of the several classes of the people. These statutes were repealed in the following year, but similar ones were passed again in the same reign. They seem, however, to have had little effect, for in the reign of Richard II. the same excesses prevailed, apparently in a still greater degree. Another statute was passed in the year 1463 (3 Edw. IV. c. 5) for the regulation of the dress of persons of all ranks. In this it was stated that “ the commons of the realm, as well men as women, wear excessive and inordinate apparel to the great displeasure of God, the enriching of strange realms, and the destruction of this realm.” An Act of 1444 had previously regulated the clothing, when it formed a part of the wages, of servants employed in husbandry; a bailiff or overseer was to have an allowance of 5s. a year for his clothing, a hind or principal servant 4s., and an ordinary servant 3s. 4d.,—sums equivalent respectively to 50s., 40s., and 33s. 4d. of our money (Henry). Already in the reign of Edward II. a proclamation had been issued against the “ outrageous and excessive multitude of meats and dishes which the great men of the kingdom had used, and still used, in their castles,” as well as “persons of inferior rank imitating their example, beyond what their stations required and their circumstances could afford ”; and the rule was laid down that the great men should have but two courses of flesh meat served up to their tables, and on fish days two courses of fish, each course consist</w:t>
        <w:softHyphen/>
        <w:t>ing of but two kinds. In 1363, at the same time when costumes were regulated, it was enacted that the servants of gentlemen, merchants, and artificers should have only one meal of flesh or fish in the day, and that their other food should consist of milk, butter, and cheese. Similar Acts to those above mentioned were passed in Scotland also. In 1433 (temp. James I.), by an Act of a parliament which sat at Perth, the manner of living of all orders in Scotland was prescribed, and in particular the use of pies and baked meats, which had been only lately introduced into the country, was forbidden to all under the rank of baron. In 1457 (temp. James II.) an Act was passed against “sumptuous cleithing.” A Scottish sumptuary law of 1621 was the last of the kind in Great Britain.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Ferguson and others have pointed out that “luxury ” is a term of relative import and that all luxuries do not deserve to be dis</w:t>
        <w:softHyphen/>
        <w:t xml:space="preserve">couraged.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color w:val="000000"/>
          <w:spacing w:val="0"/>
          <w:w w:val="100"/>
          <w:position w:val="0"/>
          <w:shd w:val="clear" w:color="auto" w:fill="auto"/>
          <w:lang w:val="en-US" w:eastAsia="en-US" w:bidi="en-US"/>
        </w:rPr>
        <w:t>has called attention to the fact that the nature of the prevalent luxury changes with the stage of social develop-</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