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respectively.@@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is said, too, to have been a skilful physician.@@</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 xml:space="preserve">To him </w:t>
      </w:r>
      <w:r>
        <w:rPr>
          <w:spacing w:val="0"/>
          <w:w w:val="100"/>
          <w:position w:val="0"/>
          <w:shd w:val="clear" w:color="auto" w:fill="auto"/>
          <w:lang w:val="fr-FR" w:eastAsia="fr-FR" w:bidi="fr-FR"/>
        </w:rPr>
        <w:t>'Abhd-</w:t>
      </w:r>
      <w:r>
        <w:rPr>
          <w:spacing w:val="0"/>
          <w:w w:val="100"/>
          <w:position w:val="0"/>
          <w:shd w:val="clear" w:color="auto" w:fill="auto"/>
          <w:lang w:val="en-US" w:eastAsia="en-US" w:bidi="en-US"/>
        </w:rPr>
        <w:t>ī</w:t>
      </w:r>
      <w:r>
        <w:rPr>
          <w:spacing w:val="0"/>
          <w:w w:val="100"/>
          <w:position w:val="0"/>
          <w:shd w:val="clear" w:color="auto" w:fill="auto"/>
          <w:lang w:val="fr-FR" w:eastAsia="fr-FR" w:bidi="fr-FR"/>
        </w:rPr>
        <w:t>sh</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assigns the following works,@@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—“A book of martyrdoms, anthems and hymns on the martyrs, and a translation of the canons of the council of </w:t>
      </w:r>
      <w:r>
        <w:rPr>
          <w:spacing w:val="0"/>
          <w:w w:val="100"/>
          <w:position w:val="0"/>
          <w:shd w:val="clear" w:color="auto" w:fill="auto"/>
          <w:lang w:val="fr-FR" w:eastAsia="fr-FR" w:bidi="fr-FR"/>
        </w:rPr>
        <w:t xml:space="preserve">Nicæa, </w:t>
      </w:r>
      <w:r>
        <w:rPr>
          <w:spacing w:val="0"/>
          <w:w w:val="100"/>
          <w:position w:val="0"/>
          <w:shd w:val="clear" w:color="auto" w:fill="auto"/>
          <w:lang w:val="en-US" w:eastAsia="en-US" w:bidi="en-US"/>
        </w:rPr>
        <w:t xml:space="preserve">with a history of that council.” The last named of these he undertook at the request of Isaac,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of Seleucia, who died in 416.@@</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canons which pass under his name are those of the council of Seleucia in 410.@@</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But his great work was the </w:t>
      </w:r>
      <w:r>
        <w:rPr>
          <w:i/>
          <w:iCs/>
          <w:spacing w:val="0"/>
          <w:w w:val="100"/>
          <w:position w:val="0"/>
          <w:shd w:val="clear" w:color="auto" w:fill="auto"/>
          <w:lang w:val="en-US" w:eastAsia="en-US" w:bidi="en-US"/>
        </w:rPr>
        <w:t>Book of Martyrs,</w:t>
      </w:r>
      <w:r>
        <w:rPr>
          <w:spacing w:val="0"/>
          <w:w w:val="100"/>
          <w:position w:val="0"/>
          <w:shd w:val="clear" w:color="auto" w:fill="auto"/>
          <w:lang w:val="en-US" w:eastAsia="en-US" w:bidi="en-US"/>
        </w:rPr>
        <w:t xml:space="preserve"> containing accounts of those who suffered for the Christian faith under Sapor II., Yaz</w:t>
        <w:softHyphen/>
        <w:t xml:space="preserve">degerd I., and </w:t>
      </w:r>
      <w:r>
        <w:rPr>
          <w:spacing w:val="0"/>
          <w:w w:val="100"/>
          <w:position w:val="0"/>
          <w:shd w:val="clear" w:color="auto" w:fill="auto"/>
          <w:lang w:val="fr-FR" w:eastAsia="fr-FR" w:bidi="fr-FR"/>
        </w:rPr>
        <w:t>Bahr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V., to which he prefixed two discourses on the glory of the martyrs and on their torments. One of these narratives claims to have been recorded by an eye-witness, Isaiah, the son of Ḥ</w:t>
      </w:r>
      <w:r>
        <w:rPr>
          <w:spacing w:val="0"/>
          <w:w w:val="100"/>
          <w:position w:val="0"/>
          <w:shd w:val="clear" w:color="auto" w:fill="auto"/>
          <w:lang w:val="de-DE" w:eastAsia="de-DE" w:bidi="de-DE"/>
        </w:rPr>
        <w:t>adhb</w:t>
      </w:r>
      <w:r>
        <w:rPr>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Hadhabh</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Arzan </w:t>
      </w:r>
      <w:r>
        <w:rPr>
          <w:i/>
          <w:iCs/>
          <w:spacing w:val="0"/>
          <w:w w:val="100"/>
          <w:position w:val="0"/>
          <w:shd w:val="clear" w:color="auto" w:fill="auto"/>
          <w:lang w:val="el-GR" w:eastAsia="el-GR" w:bidi="el-GR"/>
        </w:rPr>
        <w:t>(Άρζανηνή),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one of the Persian king’s horsemen.@@® Portions of this work survive in the British Museum in MSS. of the 5th and 6th centuries, as well as in some of later date both there and in the Vatican. They have been edited by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E. Assemani in the first volume of the </w:t>
      </w:r>
      <w:r>
        <w:rPr>
          <w:i/>
          <w:iCs/>
          <w:spacing w:val="0"/>
          <w:w w:val="100"/>
          <w:position w:val="0"/>
          <w:shd w:val="clear" w:color="auto" w:fill="auto"/>
          <w:lang w:val="en-US" w:eastAsia="en-US" w:bidi="en-US"/>
        </w:rPr>
        <w:t xml:space="preserve">Acta Sanctorum </w:t>
      </w:r>
      <w:r>
        <w:rPr>
          <w:i/>
          <w:iCs/>
          <w:spacing w:val="0"/>
          <w:w w:val="100"/>
          <w:position w:val="0"/>
          <w:shd w:val="clear" w:color="auto" w:fill="auto"/>
          <w:lang w:val="la-001" w:eastAsia="la-001" w:bidi="la-001"/>
        </w:rPr>
        <w:t>Martyrum,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1748.@@</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The commentary on the Gospels mentioned by Assemani is really by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r</w:t>
      </w:r>
      <w:r>
        <w:rPr>
          <w:spacing w:val="0"/>
          <w:w w:val="100"/>
          <w:position w:val="0"/>
          <w:shd w:val="clear" w:color="auto" w:fill="auto"/>
          <w:lang w:val="en-US" w:eastAsia="en-US" w:bidi="en-US"/>
        </w:rPr>
        <w:t>ū</w:t>
      </w:r>
      <w:r>
        <w:rPr>
          <w:spacing w:val="0"/>
          <w:w w:val="100"/>
          <w:position w:val="0"/>
          <w:shd w:val="clear" w:color="auto" w:fill="auto"/>
          <w:lang w:val="de-DE" w:eastAsia="de-DE" w:bidi="de-DE"/>
        </w:rPr>
        <w:t>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maphri</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of Taghrīth (Tekr</w:t>
      </w:r>
      <w:r>
        <w:rPr>
          <w:color w:val="000000"/>
          <w:spacing w:val="0"/>
          <w:w w:val="100"/>
          <w:position w:val="0"/>
          <w:shd w:val="clear" w:color="auto" w:fill="auto"/>
          <w:lang w:val="en-US" w:eastAsia="en-US" w:bidi="en-US"/>
        </w:rPr>
        <w:t>ī</w:t>
      </w:r>
      <w:r>
        <w:rPr>
          <w:spacing w:val="0"/>
          <w:w w:val="100"/>
          <w:position w:val="0"/>
          <w:shd w:val="clear" w:color="auto" w:fill="auto"/>
          <w:lang w:val="en-US" w:eastAsia="en-US" w:bidi="en-US"/>
        </w:rPr>
        <w:t>t), who is also the author of the anaphora or liturgy.@@</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Of him we shall have occasion to speak afterwards (see p. 838 </w:t>
      </w:r>
      <w:r>
        <w:rPr>
          <w:i/>
          <w:iCs/>
          <w:spacing w:val="0"/>
          <w:w w:val="100"/>
          <w:position w:val="0"/>
          <w:shd w:val="clear" w:color="auto" w:fill="auto"/>
          <w:lang w:val="en-US" w:eastAsia="en-US" w:bidi="en-US"/>
        </w:rPr>
        <w:t>infra).</w:t>
      </w:r>
      <w:r>
        <w:rPr>
          <w:spacing w:val="0"/>
          <w:w w:val="100"/>
          <w:position w:val="0"/>
          <w:shd w:val="clear" w:color="auto" w:fill="auto"/>
          <w:lang w:val="en-US" w:eastAsia="en-US" w:bidi="en-US"/>
        </w:rPr>
        <w:t xml:space="preserve"> It is possible too that some of the above-mentioned Acts may belong not to the work of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r</w:t>
      </w:r>
      <w:r>
        <w:rPr>
          <w:spacing w:val="0"/>
          <w:w w:val="100"/>
          <w:position w:val="0"/>
          <w:shd w:val="clear" w:color="auto" w:fill="auto"/>
          <w:lang w:val="en-US" w:eastAsia="en-US" w:bidi="en-US"/>
        </w:rPr>
        <w:t>ū</w:t>
      </w:r>
      <w:r>
        <w:rPr>
          <w:spacing w:val="0"/>
          <w:w w:val="100"/>
          <w:position w:val="0"/>
          <w:shd w:val="clear" w:color="auto" w:fill="auto"/>
          <w:lang w:val="de-DE" w:eastAsia="de-DE" w:bidi="de-DE"/>
        </w:rPr>
        <w:t>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but to that of </w:t>
      </w:r>
      <w:r>
        <w:rPr>
          <w:spacing w:val="0"/>
          <w:w w:val="100"/>
          <w:position w:val="0"/>
          <w:shd w:val="clear" w:color="auto" w:fill="auto"/>
          <w:lang w:val="fr-FR" w:eastAsia="fr-FR" w:bidi="fr-FR"/>
        </w:rPr>
        <w:t>A</w:t>
      </w:r>
      <w:r>
        <w:rPr>
          <w:spacing w:val="0"/>
          <w:w w:val="100"/>
          <w:position w:val="0"/>
          <w:shd w:val="clear" w:color="auto" w:fill="auto"/>
          <w:lang w:val="en-US" w:eastAsia="en-US" w:bidi="en-US"/>
        </w:rPr>
        <w:t>ḥā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successor of Isaac in the see of Seleucia, who likewise wrote a history of the Persian martyrs and a life of his teacher 'Abhd</w:t>
      </w:r>
      <w:r>
        <w:rPr>
          <w:color w:val="000000"/>
          <w:spacing w:val="0"/>
          <w:w w:val="100"/>
          <w:position w:val="0"/>
          <w:shd w:val="clear" w:color="auto" w:fill="auto"/>
          <w:lang w:val="en-US" w:eastAsia="en-US" w:bidi="en-US"/>
        </w:rPr>
        <w:t>ā</w:t>
      </w:r>
      <w:r>
        <w:rPr>
          <w:spacing w:val="0"/>
          <w:w w:val="100"/>
          <w:position w:val="0"/>
          <w:shd w:val="clear" w:color="auto" w:fill="auto"/>
          <w:lang w:val="en-US" w:eastAsia="en-US" w:bidi="en-US"/>
        </w:rPr>
        <w:t xml:space="preserve">, the head of the school in the monastery of </w:t>
      </w:r>
      <w:r>
        <w:rPr>
          <w:spacing w:val="0"/>
          <w:w w:val="100"/>
          <w:position w:val="0"/>
          <w:shd w:val="clear" w:color="auto" w:fill="auto"/>
          <w:lang w:val="de-DE" w:eastAsia="de-DE" w:bidi="de-DE"/>
        </w:rPr>
        <w:t>D</w:t>
      </w:r>
      <w:r>
        <w:rPr>
          <w:spacing w:val="0"/>
          <w:w w:val="100"/>
          <w:position w:val="0"/>
          <w:shd w:val="clear" w:color="auto" w:fill="auto"/>
          <w:lang w:val="en-US" w:eastAsia="en-US" w:bidi="en-US"/>
        </w:rPr>
        <w:t>ō</w:t>
      </w:r>
      <w:r>
        <w:rPr>
          <w:spacing w:val="0"/>
          <w:w w:val="100"/>
          <w:position w:val="0"/>
          <w:shd w:val="clear" w:color="auto" w:fill="auto"/>
          <w:lang w:val="de-DE" w:eastAsia="de-DE" w:bidi="de-DE"/>
        </w:rPr>
        <w:t>r-</w:t>
      </w:r>
      <w:r>
        <w:rPr>
          <w:spacing w:val="0"/>
          <w:w w:val="100"/>
          <w:position w:val="0"/>
          <w:shd w:val="clear" w:color="auto" w:fill="auto"/>
          <w:lang w:val="en-US" w:eastAsia="en-US" w:bidi="en-US"/>
        </w:rPr>
        <w:t>Ḳō</w:t>
      </w:r>
      <w:r>
        <w:rPr>
          <w:spacing w:val="0"/>
          <w:w w:val="100"/>
          <w:position w:val="0"/>
          <w:shd w:val="clear" w:color="auto" w:fill="auto"/>
          <w:lang w:val="de-DE" w:eastAsia="de-DE" w:bidi="de-DE"/>
        </w:rPr>
        <w:t>n</w:t>
      </w:r>
      <w:r>
        <w:rPr>
          <w:spacing w:val="0"/>
          <w:w w:val="100"/>
          <w:position w:val="0"/>
          <w:shd w:val="clear" w:color="auto" w:fill="auto"/>
          <w:lang w:val="en-US" w:eastAsia="en-US" w:bidi="en-US"/>
        </w:rPr>
        <w:t>ī</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Dair-</w:t>
      </w:r>
      <w:r>
        <w:rPr>
          <w:spacing w:val="0"/>
          <w:w w:val="100"/>
          <w:position w:val="0"/>
          <w:shd w:val="clear" w:color="auto" w:fill="auto"/>
          <w:lang w:val="en-US" w:eastAsia="en-US" w:bidi="en-US"/>
        </w:rPr>
        <w:t>Ḳ</w:t>
      </w:r>
      <w:r>
        <w:rPr>
          <w:spacing w:val="0"/>
          <w:w w:val="100"/>
          <w:position w:val="0"/>
          <w:shd w:val="clear" w:color="auto" w:fill="auto"/>
          <w:lang w:val="de-DE" w:eastAsia="de-DE" w:bidi="de-DE"/>
        </w:rPr>
        <w:t>unn</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(where the apostle </w:t>
      </w:r>
      <w:r>
        <w:rPr>
          <w:spacing w:val="0"/>
          <w:w w:val="100"/>
          <w:position w:val="0"/>
          <w:shd w:val="clear" w:color="auto" w:fill="auto"/>
          <w:lang w:val="de-DE" w:eastAsia="de-DE" w:bidi="de-DE"/>
        </w:rPr>
        <w:t>M</w:t>
      </w:r>
      <w:r>
        <w:rPr>
          <w:spacing w:val="0"/>
          <w:w w:val="100"/>
          <w:position w:val="0"/>
          <w:shd w:val="clear" w:color="auto" w:fill="auto"/>
          <w:lang w:val="en-US" w:eastAsia="en-US" w:bidi="en-US"/>
        </w:rPr>
        <w:t>ā</w:t>
      </w:r>
      <w:r>
        <w:rPr>
          <w:spacing w:val="0"/>
          <w:w w:val="100"/>
          <w:position w:val="0"/>
          <w:shd w:val="clear" w:color="auto" w:fill="auto"/>
          <w:lang w:val="de-DE" w:eastAsia="de-DE" w:bidi="de-DE"/>
        </w:rPr>
        <w:t>r</w:t>
      </w:r>
      <w:r>
        <w:rPr>
          <w:spacing w:val="0"/>
          <w:w w:val="100"/>
          <w:position w:val="0"/>
          <w:shd w:val="clear" w:color="auto" w:fill="auto"/>
          <w:lang w:val="en-US" w:eastAsia="en-US" w:bidi="en-US"/>
        </w:rPr>
        <w:t>ī</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was buried).@@</w:t>
      </w:r>
      <w:r>
        <w:rPr>
          <w:spacing w:val="0"/>
          <w:w w:val="100"/>
          <w:position w:val="0"/>
          <w:shd w:val="clear" w:color="auto" w:fill="auto"/>
          <w:vertAlign w:val="superscript"/>
          <w:lang w:val="en-US" w:eastAsia="en-US" w:bidi="en-US"/>
        </w:rPr>
        <w:t>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About this time evil days came upon the Christian church in Syria. Paul of </w:t>
      </w:r>
      <w:r>
        <w:rPr>
          <w:spacing w:val="0"/>
          <w:w w:val="100"/>
          <w:position w:val="0"/>
          <w:shd w:val="clear" w:color="auto" w:fill="auto"/>
          <w:lang w:val="la-001" w:eastAsia="la-001" w:bidi="la-001"/>
        </w:rPr>
        <w:t xml:space="preserve">Samosata, Diodore </w:t>
      </w:r>
      <w:r>
        <w:rPr>
          <w:spacing w:val="0"/>
          <w:w w:val="100"/>
          <w:position w:val="0"/>
          <w:shd w:val="clear" w:color="auto" w:fill="auto"/>
          <w:lang w:val="en-US" w:eastAsia="en-US" w:bidi="en-US"/>
        </w:rPr>
        <w:t>of Tarsus, and Theodore of Mopsuestia had paved the way for Nestorius. The doctrines of these writers were warmly espoused by many of the Syrian theo</w:t>
        <w:softHyphen/>
        <w:t xml:space="preserve">logians ; and the warfare raged for many years in and around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till it ended in the total destruction of the great Persian school by the order of the emperor Zeno (488-489).@@</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Rabb</w:t>
      </w:r>
      <w:r>
        <w:rPr>
          <w:spacing w:val="0"/>
          <w:w w:val="100"/>
          <w:position w:val="0"/>
          <w:shd w:val="clear" w:color="auto" w:fill="auto"/>
          <w:lang w:val="en-US" w:eastAsia="en-US" w:bidi="en-US"/>
        </w:rPr>
        <w:t>ū</w:t>
      </w:r>
      <w:r>
        <w:rPr>
          <w:spacing w:val="0"/>
          <w:w w:val="100"/>
          <w:position w:val="0"/>
          <w:shd w:val="clear" w:color="auto" w:fill="auto"/>
          <w:lang w:val="de-DE" w:eastAsia="de-DE" w:bidi="de-DE"/>
        </w:rPr>
        <w:t>l</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native of Ken-neshrīn (Ḳinnesrīn), whose father was a heathen priest but his mother a Christian, was converted to Christianity by Eusebius, bishop of Ḳen-neshrīn, and Acacius, bishop of Aleppo. He voluntarily gave up all his property, forsook his wife, and became a monk in the convent of Abraham near his native city. On the death of Diogenes, bishop of Edcssa, he was appointed his successor (411-412). His admiring biographer depicts him as a model bishop, and he certainly appears to have been active and energetic in teaching and preaching and attending to the needs of the poor.@@</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In the theological disputes of the day he seems at first to have sided, if not with Nestorius, at least with those who were averse to extreme measures, such as John, patriarch of Antioch, and his partisans ; but afterwards he joined the opposite party, and became a warm champion of the doctrines of Cyril, which he supported at the council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(431). From this time onward he was a staunch opponent of Nestorianism, and even resorted to such an extreme measure as burning the writings of Theodore of Mopsuestia. Hence Ibas in his letter to Mārī speaks of him as “the tyrant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Andrew of </w:t>
      </w:r>
      <w:r>
        <w:rPr>
          <w:spacing w:val="0"/>
          <w:w w:val="100"/>
          <w:position w:val="0"/>
          <w:shd w:val="clear" w:color="auto" w:fill="auto"/>
          <w:lang w:val="la-001" w:eastAsia="la-001" w:bidi="la-001"/>
        </w:rPr>
        <w:t xml:space="preserve">Samosata, </w:t>
      </w:r>
      <w:r>
        <w:rPr>
          <w:spacing w:val="0"/>
          <w:w w:val="100"/>
          <w:position w:val="0"/>
          <w:shd w:val="clear" w:color="auto" w:fill="auto"/>
          <w:lang w:val="en-US" w:eastAsia="en-US" w:bidi="en-US"/>
        </w:rPr>
        <w:t>writing to Alexander of Hierapolis in 432, complains bitterly of his persecution of the orthodox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the Nestorians). He died in August 435.@@</w:t>
      </w:r>
      <w:r>
        <w:rPr>
          <w:spacing w:val="0"/>
          <w:w w:val="100"/>
          <w:position w:val="0"/>
          <w:shd w:val="clear" w:color="auto" w:fill="auto"/>
          <w:vertAlign w:val="superscript"/>
          <w:lang w:val="en-US" w:eastAsia="en-US" w:bidi="en-US"/>
        </w:rPr>
        <w:t xml:space="preserve">12 </w:t>
      </w:r>
      <w:r>
        <w:rPr>
          <w:spacing w:val="0"/>
          <w:w w:val="100"/>
          <w:position w:val="0"/>
          <w:shd w:val="clear" w:color="auto" w:fill="auto"/>
          <w:lang w:val="en-US" w:eastAsia="en-US" w:bidi="en-US"/>
        </w:rPr>
        <w:t xml:space="preserve">Of the writings of </w:t>
      </w:r>
      <w:r>
        <w:rPr>
          <w:spacing w:val="0"/>
          <w:w w:val="100"/>
          <w:position w:val="0"/>
          <w:shd w:val="clear" w:color="auto" w:fill="auto"/>
          <w:lang w:val="de-DE" w:eastAsia="de-DE" w:bidi="de-DE"/>
        </w:rPr>
        <w:t>Rabb</w:t>
      </w:r>
      <w:r>
        <w:rPr>
          <w:spacing w:val="0"/>
          <w:w w:val="100"/>
          <w:position w:val="0"/>
          <w:shd w:val="clear" w:color="auto" w:fill="auto"/>
          <w:lang w:val="en-US" w:eastAsia="en-US" w:bidi="en-US"/>
        </w:rPr>
        <w:t>ū</w:t>
      </w:r>
      <w:r>
        <w:rPr>
          <w:spacing w:val="0"/>
          <w:w w:val="100"/>
          <w:position w:val="0"/>
          <w:shd w:val="clear" w:color="auto" w:fill="auto"/>
          <w:lang w:val="de-DE" w:eastAsia="de-DE" w:bidi="de-DE"/>
        </w:rPr>
        <w:t>l</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but little has come down to us. There is a sermon extant in manuscript,@@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enjoining the bestowing of alms on behalf of the souls of the dead and prohibiting all feasting on the occasion of their commemoration. Another sermon, preached at Constantinople, is directed against the errors of Nestorius.@@</w:t>
      </w:r>
      <w:r>
        <w:rPr>
          <w:spacing w:val="0"/>
          <w:w w:val="100"/>
          <w:position w:val="0"/>
          <w:shd w:val="clear" w:color="auto" w:fill="auto"/>
          <w:vertAlign w:val="superscript"/>
          <w:lang w:val="en-US" w:eastAsia="en-US" w:bidi="en-US"/>
        </w:rPr>
        <w:t xml:space="preserve">14 </w:t>
      </w:r>
      <w:r>
        <w:rPr>
          <w:spacing w:val="0"/>
          <w:w w:val="100"/>
          <w:position w:val="0"/>
          <w:shd w:val="clear" w:color="auto" w:fill="auto"/>
          <w:lang w:val="en-US" w:eastAsia="en-US" w:bidi="en-US"/>
        </w:rPr>
        <w:t>There are also extant canons and orders addressed to the monks and clergy of his diocese,@@</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and a number of hymns, of which Over- beck has printed some specimens.@@</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He also rendered into Syriac Cyril’s treatise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Recta in </w:t>
      </w:r>
      <w:r>
        <w:rPr>
          <w:i/>
          <w:iCs/>
          <w:spacing w:val="0"/>
          <w:w w:val="100"/>
          <w:position w:val="0"/>
          <w:shd w:val="clear" w:color="auto" w:fill="auto"/>
          <w:lang w:val="de-DE" w:eastAsia="de-DE" w:bidi="de-DE"/>
        </w:rPr>
        <w:t xml:space="preserve">Dominum </w:t>
      </w:r>
      <w:r>
        <w:rPr>
          <w:i/>
          <w:iCs/>
          <w:spacing w:val="0"/>
          <w:w w:val="100"/>
          <w:position w:val="0"/>
          <w:shd w:val="clear" w:color="auto" w:fill="auto"/>
          <w:lang w:val="en-US" w:eastAsia="en-US" w:bidi="en-US"/>
        </w:rPr>
        <w:t xml:space="preserve">nostrum J. C. Fide ad </w:t>
      </w:r>
      <w:r>
        <w:rPr>
          <w:i/>
          <w:iCs/>
          <w:spacing w:val="0"/>
          <w:w w:val="100"/>
          <w:position w:val="0"/>
          <w:shd w:val="clear" w:color="auto" w:fill="auto"/>
          <w:lang w:val="la-001" w:eastAsia="la-001" w:bidi="la-001"/>
        </w:rPr>
        <w:t>Theo</w:t>
        <w:softHyphen/>
        <w:t>dosium Imperatorem</w:t>
      </w:r>
      <w:r>
        <w:rPr>
          <w:spacing w:val="0"/>
          <w:w w:val="100"/>
          <w:position w:val="0"/>
          <w:shd w:val="clear" w:color="auto" w:fill="auto"/>
          <w:lang w:val="en-US" w:eastAsia="en-US" w:bidi="en-US"/>
        </w:rPr>
        <w:t>@@</w:t>
      </w:r>
      <w:r>
        <w:rPr>
          <w:i/>
          <w:iCs/>
          <w:spacing w:val="0"/>
          <w:w w:val="100"/>
          <w:position w:val="0"/>
          <w:shd w:val="clear" w:color="auto" w:fill="auto"/>
          <w:vertAlign w:val="superscript"/>
          <w:lang w:val="la-001" w:eastAsia="la-001" w:bidi="la-001"/>
        </w:rPr>
        <w:t>17</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from a copy which was sent to him by the author.@@</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His biographer intended to translate into Syriac a collec</w:t>
        <w:softHyphen/>
        <w:t>tion of forty-six of his letters, written in Greek “to priests and emperors and nobles and monks@@</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 ” but of these only a few remain,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to Andrew of </w:t>
      </w:r>
      <w:r>
        <w:rPr>
          <w:spacing w:val="0"/>
          <w:w w:val="100"/>
          <w:position w:val="0"/>
          <w:shd w:val="clear" w:color="auto" w:fill="auto"/>
          <w:lang w:val="de-DE" w:eastAsia="de-DE" w:bidi="de-DE"/>
        </w:rPr>
        <w:t>Samos</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ta, </w:t>
      </w:r>
      <w:r>
        <w:rPr>
          <w:spacing w:val="0"/>
          <w:w w:val="100"/>
          <w:position w:val="0"/>
          <w:shd w:val="clear" w:color="auto" w:fill="auto"/>
          <w:lang w:val="en-US" w:eastAsia="en-US" w:bidi="en-US"/>
        </w:rPr>
        <w:t>condemning his treatise against the twelve anathemas of Cyril@@</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 to Cyril, regarding Theodore of Mop</w:t>
        <w:softHyphen/>
        <w:t>suestia@@</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 and to Gemellinus of </w:t>
      </w:r>
      <w:r>
        <w:rPr>
          <w:spacing w:val="0"/>
          <w:w w:val="100"/>
          <w:position w:val="0"/>
          <w:shd w:val="clear" w:color="auto" w:fill="auto"/>
          <w:lang w:val="fr-FR" w:eastAsia="fr-FR" w:bidi="fr-FR"/>
        </w:rPr>
        <w:t>Perrh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about certain monks and other persons who misused the sacred elements as ordinary food.@@</w:t>
      </w:r>
      <w:r>
        <w:rPr>
          <w:spacing w:val="0"/>
          <w:w w:val="100"/>
          <w:position w:val="0"/>
          <w:shd w:val="clear" w:color="auto" w:fill="auto"/>
          <w:vertAlign w:val="superscript"/>
          <w:lang w:val="en-US" w:eastAsia="en-US" w:bidi="en-US"/>
        </w:rPr>
        <w:t>22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Rabb</w:t>
      </w:r>
      <w:r>
        <w:rPr>
          <w:spacing w:val="0"/>
          <w:w w:val="100"/>
          <w:position w:val="0"/>
          <w:shd w:val="clear" w:color="auto" w:fill="auto"/>
          <w:lang w:val="en-US" w:eastAsia="en-US" w:bidi="en-US"/>
        </w:rPr>
        <w:t>ū</w:t>
      </w:r>
      <w:r>
        <w:rPr>
          <w:spacing w:val="0"/>
          <w:w w:val="100"/>
          <w:position w:val="0"/>
          <w:shd w:val="clear" w:color="auto" w:fill="auto"/>
          <w:lang w:val="de-DE" w:eastAsia="de-DE" w:bidi="de-DE"/>
        </w:rPr>
        <w:t>l</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was succeeded in the see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(435) by Ī</w:t>
      </w:r>
      <w:r>
        <w:rPr>
          <w:spacing w:val="0"/>
          <w:w w:val="100"/>
          <w:position w:val="0"/>
          <w:shd w:val="clear" w:color="auto" w:fill="auto"/>
          <w:lang w:val="de-DE" w:eastAsia="de-DE" w:bidi="de-DE"/>
        </w:rPr>
        <w:t>h</w:t>
      </w:r>
      <w:r>
        <w:rPr>
          <w:spacing w:val="0"/>
          <w:w w:val="100"/>
          <w:position w:val="0"/>
          <w:shd w:val="clear" w:color="auto" w:fill="auto"/>
          <w:lang w:val="en-US" w:eastAsia="en-US" w:bidi="en-US"/>
        </w:rPr>
        <w:t>ī</w:t>
      </w:r>
      <w:r>
        <w:rPr>
          <w:spacing w:val="0"/>
          <w:w w:val="100"/>
          <w:position w:val="0"/>
          <w:shd w:val="clear" w:color="auto" w:fill="auto"/>
          <w:lang w:val="de-DE" w:eastAsia="de-DE" w:bidi="de-DE"/>
        </w:rPr>
        <w:t>bh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H</w:t>
      </w:r>
      <w:r>
        <w:rPr>
          <w:spacing w:val="0"/>
          <w:w w:val="100"/>
          <w:position w:val="0"/>
          <w:shd w:val="clear" w:color="auto" w:fill="auto"/>
          <w:lang w:val="en-US" w:eastAsia="en-US" w:bidi="en-US"/>
        </w:rPr>
        <w:t>ī</w:t>
      </w:r>
      <w:r>
        <w:rPr>
          <w:spacing w:val="0"/>
          <w:w w:val="100"/>
          <w:position w:val="0"/>
          <w:shd w:val="clear" w:color="auto" w:fill="auto"/>
          <w:lang w:val="fr-FR" w:eastAsia="fr-FR" w:bidi="fr-FR"/>
        </w:rPr>
        <w:t>bh</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(Græcized </w:t>
      </w:r>
      <w:r>
        <w:rPr>
          <w:spacing w:val="0"/>
          <w:w w:val="100"/>
          <w:position w:val="0"/>
          <w:shd w:val="clear" w:color="auto" w:fill="auto"/>
          <w:lang w:val="de-DE" w:eastAsia="de-DE" w:bidi="de-DE"/>
        </w:rPr>
        <w:t>Ibas),</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who in his younger days had been one of the translators of Theodore’s works in the Persian school.@@</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This, with his letter to Mārī</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Persian@@</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other utterances, led to his being charged with Nestorianism. He was acquitted by the two synods of Tyre and Beirūt, but condemned by the second council of Ephesus (449),@@</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and </w:t>
      </w:r>
      <w:r>
        <w:rPr>
          <w:spacing w:val="0"/>
          <w:w w:val="100"/>
          <w:position w:val="0"/>
          <w:shd w:val="clear" w:color="auto" w:fill="auto"/>
          <w:lang w:val="la-001" w:eastAsia="la-001" w:bidi="la-001"/>
        </w:rPr>
        <w:t xml:space="preserve">Nonnus </w:t>
      </w:r>
      <w:r>
        <w:rPr>
          <w:spacing w:val="0"/>
          <w:w w:val="100"/>
          <w:position w:val="0"/>
          <w:shd w:val="clear" w:color="auto" w:fill="auto"/>
          <w:lang w:val="en-US" w:eastAsia="en-US" w:bidi="en-US"/>
        </w:rPr>
        <w:t xml:space="preserve">was substituted in his room. He was restored, however, at the end of two years by the council of </w:t>
      </w:r>
      <w:r>
        <w:rPr>
          <w:spacing w:val="0"/>
          <w:w w:val="100"/>
          <w:position w:val="0"/>
          <w:shd w:val="clear" w:color="auto" w:fill="auto"/>
          <w:lang w:val="la-001" w:eastAsia="la-001" w:bidi="la-001"/>
        </w:rPr>
        <w:t>Chalce</w:t>
        <w:softHyphen/>
        <w:t xml:space="preserve">don, </w:t>
      </w:r>
      <w:r>
        <w:rPr>
          <w:spacing w:val="0"/>
          <w:w w:val="100"/>
          <w:position w:val="0"/>
          <w:shd w:val="clear" w:color="auto" w:fill="auto"/>
          <w:lang w:val="en-US" w:eastAsia="en-US" w:bidi="en-US"/>
        </w:rPr>
        <w:t xml:space="preserve">and sat till October 457, when he was succeeded by </w:t>
      </w:r>
      <w:r>
        <w:rPr>
          <w:spacing w:val="0"/>
          <w:w w:val="100"/>
          <w:position w:val="0"/>
          <w:shd w:val="clear" w:color="auto" w:fill="auto"/>
          <w:lang w:val="la-001" w:eastAsia="la-001" w:bidi="la-001"/>
        </w:rPr>
        <w:t>Nonnus,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 xml:space="preserve">27 </w:t>
      </w:r>
      <w:r>
        <w:rPr>
          <w:spacing w:val="0"/>
          <w:w w:val="100"/>
          <w:position w:val="0"/>
          <w:shd w:val="clear" w:color="auto" w:fill="auto"/>
          <w:lang w:val="en-US" w:eastAsia="en-US" w:bidi="en-US"/>
        </w:rPr>
        <w:t>who in his turn was followed by Cyrus in 471. Besides the writ</w:t>
        <w:softHyphen/>
        <w:t xml:space="preserve">ings above-mentioned, </w:t>
      </w:r>
      <w:r>
        <w:rPr>
          <w:spacing w:val="0"/>
          <w:w w:val="100"/>
          <w:position w:val="0"/>
          <w:shd w:val="clear" w:color="auto" w:fill="auto"/>
          <w:lang w:val="fr-FR" w:eastAsia="fr-FR" w:bidi="fr-FR"/>
        </w:rPr>
        <w:t>'Abhd-</w:t>
      </w:r>
      <w:r>
        <w:rPr>
          <w:spacing w:val="0"/>
          <w:w w:val="100"/>
          <w:position w:val="0"/>
          <w:shd w:val="clear" w:color="auto" w:fill="auto"/>
          <w:lang w:val="en-US" w:eastAsia="en-US" w:bidi="en-US"/>
        </w:rPr>
        <w:t>ī</w:t>
      </w:r>
      <w:r>
        <w:rPr>
          <w:spacing w:val="0"/>
          <w:w w:val="100"/>
          <w:position w:val="0"/>
          <w:shd w:val="clear" w:color="auto" w:fill="auto"/>
          <w:lang w:val="fr-FR" w:eastAsia="fr-FR" w:bidi="fr-FR"/>
        </w:rPr>
        <w:t>sh</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attributes to Ibas@@</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“a comment</w:t>
        <w:softHyphen/>
        <w:t>ary on Proverbs, sermons and metrical homilies (</w:t>
      </w:r>
      <w:r>
        <w:rPr>
          <w:i/>
          <w:iCs/>
          <w:spacing w:val="0"/>
          <w:w w:val="100"/>
          <w:position w:val="0"/>
          <w:shd w:val="clear" w:color="auto" w:fill="auto"/>
          <w:lang w:val="en-US" w:eastAsia="en-US" w:bidi="en-US"/>
        </w:rPr>
        <w:t>madhrāshē),</w:t>
      </w:r>
      <w:r>
        <w:rPr>
          <w:spacing w:val="0"/>
          <w:w w:val="100"/>
          <w:position w:val="0"/>
          <w:shd w:val="clear" w:color="auto" w:fill="auto"/>
          <w:lang w:val="en-US" w:eastAsia="en-US" w:bidi="en-US"/>
        </w:rPr>
        <w:t xml:space="preserve"> and a disputation with a heretic”; but none of these appear to have come down to us.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During this stormy period the name of Acacius, bishop of Amid, is mentioned as the author of certain epistles.@@</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The great event of his life, which is referred by Socrates (bk. vii. 21) to the year 422, is thus briefly recorded in the </w:t>
      </w:r>
      <w:r>
        <w:rPr>
          <w:i/>
          <w:iCs/>
          <w:spacing w:val="0"/>
          <w:w w:val="100"/>
          <w:position w:val="0"/>
          <w:shd w:val="clear" w:color="auto" w:fill="auto"/>
          <w:lang w:val="en-US" w:eastAsia="en-US" w:bidi="en-US"/>
        </w:rPr>
        <w:t>Martyrologium Rοmanum Gregorii XIII.</w:t>
      </w:r>
      <w:r>
        <w:rPr>
          <w:spacing w:val="0"/>
          <w:w w:val="100"/>
          <w:position w:val="0"/>
          <w:shd w:val="clear" w:color="auto" w:fill="auto"/>
          <w:lang w:val="en-US" w:eastAsia="en-US" w:bidi="en-US"/>
        </w:rPr>
        <w:t xml:space="preserve"> (Malines, 1859), 9th April : “ </w:t>
      </w:r>
      <w:r>
        <w:rPr>
          <w:spacing w:val="0"/>
          <w:w w:val="100"/>
          <w:position w:val="0"/>
          <w:shd w:val="clear" w:color="auto" w:fill="auto"/>
          <w:lang w:val="fr-FR" w:eastAsia="fr-FR" w:bidi="fr-FR"/>
        </w:rPr>
        <w:t xml:space="preserve">Amidæ </w:t>
      </w:r>
      <w:r>
        <w:rPr>
          <w:spacing w:val="0"/>
          <w:w w:val="100"/>
          <w:position w:val="0"/>
          <w:shd w:val="clear" w:color="auto" w:fill="auto"/>
          <w:lang w:val="en-US" w:eastAsia="en-US" w:bidi="en-US"/>
        </w:rPr>
        <w:t xml:space="preserve">in Mesopotamia </w:t>
      </w:r>
      <w:r>
        <w:rPr>
          <w:spacing w:val="0"/>
          <w:w w:val="100"/>
          <w:position w:val="0"/>
          <w:shd w:val="clear" w:color="auto" w:fill="auto"/>
          <w:lang w:val="la-001" w:eastAsia="la-001" w:bidi="la-001"/>
        </w:rPr>
        <w:t xml:space="preserve">sancti Acatii episcopi, qui pro redimendis captivis etiam ecclesiae vasa conflavit ac vendidit.” </w:t>
      </w:r>
      <w:r>
        <w:rPr>
          <w:spacing w:val="0"/>
          <w:w w:val="100"/>
          <w:position w:val="0"/>
          <w:shd w:val="clear" w:color="auto" w:fill="auto"/>
          <w:lang w:val="en-US" w:eastAsia="en-US" w:bidi="en-US"/>
        </w:rPr>
        <w:t xml:space="preserve">The said </w:t>
      </w:r>
      <w:r>
        <w:rPr>
          <w:spacing w:val="0"/>
          <w:w w:val="100"/>
          <w:position w:val="0"/>
          <w:shd w:val="clear" w:color="auto" w:fill="auto"/>
          <w:lang w:val="la-001" w:eastAsia="la-001" w:bidi="la-001"/>
        </w:rPr>
        <w:t xml:space="preserve">captives </w:t>
      </w:r>
      <w:r>
        <w:rPr>
          <w:spacing w:val="0"/>
          <w:w w:val="100"/>
          <w:position w:val="0"/>
          <w:shd w:val="clear" w:color="auto" w:fill="auto"/>
          <w:lang w:val="en-US" w:eastAsia="en-US" w:bidi="en-US"/>
        </w:rPr>
        <w:t>were Persian subjects, who were thus ransomed and sent back to their king and country.@@</w:t>
      </w:r>
      <w:r>
        <w:rPr>
          <w:spacing w:val="0"/>
          <w:w w:val="100"/>
          <w:position w:val="0"/>
          <w:shd w:val="clear" w:color="auto" w:fill="auto"/>
          <w:vertAlign w:val="superscript"/>
          <w:lang w:val="en-US" w:eastAsia="en-US" w:bidi="en-US"/>
        </w:rPr>
        <w:t xml:space="preserve">39 </w:t>
      </w:r>
      <w:r>
        <w:rPr>
          <w:spacing w:val="0"/>
          <w:w w:val="100"/>
          <w:position w:val="0"/>
          <w:shd w:val="clear" w:color="auto" w:fill="auto"/>
          <w:lang w:val="en-US" w:eastAsia="en-US" w:bidi="en-US"/>
        </w:rPr>
        <w:t>Acacius was doubtless a favourer of Nestorianism, for his letters were thought worthy of a commentary by Mārī</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bishop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Hardash</w:t>
      </w:r>
      <w:r>
        <w:rPr>
          <w:spacing w:val="0"/>
          <w:w w:val="100"/>
          <w:position w:val="0"/>
          <w:shd w:val="clear" w:color="auto" w:fill="auto"/>
          <w:lang w:val="en-US" w:eastAsia="en-US" w:bidi="en-US"/>
        </w:rPr>
        <w:t>ē</w:t>
      </w:r>
      <w:r>
        <w:rPr>
          <w:spacing w:val="0"/>
          <w:w w:val="100"/>
          <w:position w:val="0"/>
          <w:shd w:val="clear" w:color="auto" w:fill="auto"/>
          <w:lang w:val="fr-FR" w:eastAsia="fr-FR" w:bidi="fr-FR"/>
        </w:rPr>
        <w:t>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correspondent of Ibas.@@</w:t>
      </w:r>
      <w:r>
        <w:rPr>
          <w:spacing w:val="0"/>
          <w:w w:val="100"/>
          <w:position w:val="0"/>
          <w:shd w:val="clear" w:color="auto" w:fill="auto"/>
          <w:vertAlign w:val="superscript"/>
          <w:lang w:val="en-US" w:eastAsia="en-US" w:bidi="en-US"/>
        </w:rPr>
        <w:t>32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About the same time rose one of the stars of Syriac literature, Isaac, commonly called the Great, of Antioch.@@</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He was a native of Amid, but went as a young man to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where he enjoyed the teaching of Zenobius, the disciple of Ephraim.@@</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Thence he removed to Antioch, where he lived as priest and abbot of one of the many convents in its immediate neighbourhood. In his younger days he would seem to have travelled farther than most of his countrymen, as it is stated that he visited Rome and other cities.@@</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With this agrees what is recorded by Dionysius of Tell-Mahrē@@</w:t>
      </w:r>
      <w:r>
        <w:rPr>
          <w:spacing w:val="0"/>
          <w:w w:val="100"/>
          <w:position w:val="0"/>
          <w:shd w:val="clear" w:color="auto" w:fill="auto"/>
          <w:vertAlign w:val="superscript"/>
          <w:lang w:val="en-US" w:eastAsia="en-US" w:bidi="en-US"/>
        </w:rPr>
        <w:t>3β</w:t>
      </w:r>
      <w:r>
        <w:rPr>
          <w:spacing w:val="0"/>
          <w:w w:val="100"/>
          <w:position w:val="0"/>
          <w:shd w:val="clear" w:color="auto" w:fill="auto"/>
          <w:lang w:val="en-US" w:eastAsia="en-US" w:bidi="en-US"/>
        </w:rPr>
        <w:t xml:space="preserve"> as to his having composed poems on the secular games celebrated at Rome in 404, and on the capture of the city by Alaric in 410, which shows that he took a more than ordinary interest in the Western capital. Isaac died in or about 460, soon after the destruction of Antioch by the earthquake of 459, on which he wrote a poem.@@</w:t>
      </w:r>
      <w:r>
        <w:rPr>
          <w:spacing w:val="0"/>
          <w:w w:val="100"/>
          <w:position w:val="0"/>
          <w:shd w:val="clear" w:color="auto" w:fill="auto"/>
          <w:vertAlign w:val="superscript"/>
          <w:lang w:val="en-US" w:eastAsia="en-US" w:bidi="en-US"/>
        </w:rPr>
        <w:t xml:space="preserve">37 </w:t>
      </w:r>
      <w:r>
        <w:rPr>
          <w:spacing w:val="0"/>
          <w:w w:val="100"/>
          <w:position w:val="0"/>
          <w:shd w:val="clear" w:color="auto" w:fill="auto"/>
          <w:lang w:val="en-US" w:eastAsia="en-US" w:bidi="en-US"/>
        </w:rPr>
        <w:t>Isaac’s works are nearly as voluminous and varied as those of Ephraim, with which indeed they are often confounded in MSS. and in the Roman edition.@@</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They were gathered into one corpus by the Jacobite patriarch John bar </w:t>
      </w:r>
      <w:r>
        <w:rPr>
          <w:spacing w:val="0"/>
          <w:w w:val="100"/>
          <w:position w:val="0"/>
          <w:shd w:val="clear" w:color="auto" w:fill="auto"/>
          <w:lang w:val="fr-FR" w:eastAsia="fr-FR" w:bidi="fr-FR"/>
        </w:rPr>
        <w:t>Sh</w:t>
      </w:r>
      <w:r>
        <w:rPr>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shan </w:t>
      </w:r>
      <w:r>
        <w:rPr>
          <w:spacing w:val="0"/>
          <w:w w:val="100"/>
          <w:position w:val="0"/>
          <w:shd w:val="clear" w:color="auto" w:fill="auto"/>
          <w:lang w:val="en-US" w:eastAsia="en-US" w:bidi="en-US"/>
        </w:rPr>
        <w:t>or Susanna, who began in his old age to transcribe and annotate them, but was hindered from completing his task by death (1073).@@</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Assemani has given a list of considerably more than a hundred metrical homilies from MSS. in the Vatican.@@</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Of these part of one on the Crucifixion was edited by </w:t>
      </w:r>
      <w:r>
        <w:rPr>
          <w:spacing w:val="0"/>
          <w:w w:val="100"/>
          <w:position w:val="0"/>
          <w:shd w:val="clear" w:color="auto" w:fill="auto"/>
          <w:lang w:val="de-DE" w:eastAsia="de-DE" w:bidi="de-DE"/>
        </w:rPr>
        <w:t>Overbeck,</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another on the love of learning by Zingerle.@@</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But it has been left to Bickell to collect and translate all the extant writings of this Syrian father and to commence the pub</w:t>
        <w:softHyphen/>
        <w:t>lication of them. Out of nearly 200 metrical homilies his first volume contains in 307 pages only fifteen, and his second brings</w:t>
      </w:r>
    </w:p>
    <w:p>
      <w:pPr>
        <w:pStyle w:val="Style6"/>
        <w:keepNext w:val="0"/>
        <w:keepLines w:val="0"/>
        <w:widowControl w:val="0"/>
        <w:shd w:val="clear" w:color="auto" w:fill="auto"/>
        <w:tabs>
          <w:tab w:pos="108" w:val="left"/>
        </w:tabs>
        <w:bidi w:val="0"/>
        <w:spacing w:line="19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Β.O.,</w:t>
      </w:r>
      <w:r>
        <w:rPr>
          <w:spacing w:val="0"/>
          <w:w w:val="100"/>
          <w:position w:val="0"/>
          <w:shd w:val="clear" w:color="auto" w:fill="auto"/>
          <w:lang w:val="en-US" w:eastAsia="en-US" w:bidi="en-US"/>
        </w:rPr>
        <w:t xml:space="preserve"> i. 174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Chrοn. Eccles.,</w:t>
      </w:r>
      <w:r>
        <w:rPr>
          <w:spacing w:val="0"/>
          <w:w w:val="100"/>
          <w:position w:val="0"/>
          <w:shd w:val="clear" w:color="auto" w:fill="auto"/>
          <w:lang w:val="en-US" w:eastAsia="en-US" w:bidi="en-US"/>
        </w:rPr>
        <w:t xml:space="preserve"> i. 121, ii. 45, 49.</w:t>
      </w:r>
    </w:p>
    <w:p>
      <w:pPr>
        <w:pStyle w:val="Style6"/>
        <w:keepNext w:val="0"/>
        <w:keepLines w:val="0"/>
        <w:widowControl w:val="0"/>
        <w:shd w:val="clear" w:color="auto" w:fill="auto"/>
        <w:tabs>
          <w:tab w:pos="115" w:val="left"/>
          <w:tab w:pos="2142" w:val="left"/>
          <w:tab w:pos="3560" w:val="left"/>
        </w:tabs>
        <w:bidi w:val="0"/>
        <w:spacing w:line="190" w:lineRule="auto"/>
        <w:ind w:left="0" w:firstLine="0"/>
        <w:jc w:val="left"/>
      </w:pPr>
      <w:r>
        <w:rPr>
          <w:spacing w:val="0"/>
          <w:w w:val="100"/>
          <w:position w:val="0"/>
          <w:shd w:val="clear" w:color="auto" w:fill="auto"/>
          <w:lang w:val="en-US" w:eastAsia="en-US" w:bidi="en-US"/>
        </w:rPr>
        <w:t>@@@2</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73, and note 4.</w:t>
        <w:tab/>
      </w:r>
    </w:p>
    <w:p>
      <w:pPr>
        <w:pStyle w:val="Style6"/>
        <w:keepNext w:val="0"/>
        <w:keepLines w:val="0"/>
        <w:widowControl w:val="0"/>
        <w:shd w:val="clear" w:color="auto" w:fill="auto"/>
        <w:tabs>
          <w:tab w:pos="115" w:val="left"/>
          <w:tab w:pos="2142" w:val="left"/>
          <w:tab w:pos="3560" w:val="left"/>
        </w:tabs>
        <w:bidi w:val="0"/>
        <w:spacing w:line="190" w:lineRule="auto"/>
        <w:ind w:left="0" w:firstLine="0"/>
        <w:jc w:val="left"/>
        <w:rPr>
          <w:sz w:val="8"/>
          <w:szCs w:val="8"/>
        </w:rPr>
      </w:pPr>
      <w:r>
        <w:rPr>
          <w:spacing w:val="0"/>
          <w:w w:val="100"/>
          <w:position w:val="0"/>
          <w:sz w:val="13"/>
          <w:szCs w:val="13"/>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 </w:t>
      </w:r>
      <w:r>
        <w:rPr>
          <w:i/>
          <w:iCs/>
          <w:spacing w:val="0"/>
          <w:w w:val="100"/>
          <w:position w:val="0"/>
          <w:sz w:val="13"/>
          <w:szCs w:val="13"/>
          <w:shd w:val="clear" w:color="auto" w:fill="auto"/>
          <w:lang w:val="en-US" w:eastAsia="en-US" w:bidi="en-US"/>
        </w:rPr>
        <w:t>Ibid., loc. cit.</w:t>
      </w:r>
      <w:r>
        <w:rPr>
          <w:rFonts w:ascii="Arial" w:eastAsia="Arial" w:hAnsi="Arial" w:cs="Arial"/>
          <w:spacing w:val="0"/>
          <w:w w:val="100"/>
          <w:position w:val="0"/>
          <w:sz w:val="8"/>
          <w:szCs w:val="8"/>
          <w:shd w:val="clear" w:color="auto" w:fill="auto"/>
          <w:lang w:val="en-US" w:eastAsia="en-US" w:bidi="en-US"/>
        </w:rPr>
        <w:tab/>
      </w:r>
    </w:p>
    <w:p>
      <w:pPr>
        <w:pStyle w:val="Style6"/>
        <w:keepNext w:val="0"/>
        <w:keepLines w:val="0"/>
        <w:widowControl w:val="0"/>
        <w:shd w:val="clear" w:color="auto" w:fill="auto"/>
        <w:tabs>
          <w:tab w:pos="115" w:val="left"/>
          <w:tab w:pos="2142" w:val="left"/>
          <w:tab w:pos="3560" w:val="left"/>
        </w:tabs>
        <w:bidi w:val="0"/>
        <w:spacing w:line="190"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195.</w:t>
      </w:r>
    </w:p>
    <w:p>
      <w:pPr>
        <w:pStyle w:val="Style6"/>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See Lamy, </w:t>
      </w:r>
      <w:r>
        <w:rPr>
          <w:i/>
          <w:iCs/>
          <w:spacing w:val="0"/>
          <w:w w:val="100"/>
          <w:position w:val="0"/>
          <w:shd w:val="clear" w:color="auto" w:fill="auto"/>
          <w:lang w:val="en-US" w:eastAsia="en-US" w:bidi="en-US"/>
        </w:rPr>
        <w:t xml:space="preserve">Concilium Seleuciae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Ctesiphonti </w:t>
      </w:r>
      <w:r>
        <w:rPr>
          <w:i/>
          <w:iCs/>
          <w:spacing w:val="0"/>
          <w:w w:val="100"/>
          <w:position w:val="0"/>
          <w:shd w:val="clear" w:color="auto" w:fill="auto"/>
          <w:lang w:val="la-001" w:eastAsia="la-001" w:bidi="la-001"/>
        </w:rPr>
        <w:t xml:space="preserve">habitum </w:t>
      </w:r>
      <w:r>
        <w:rPr>
          <w:i/>
          <w:iCs/>
          <w:spacing w:val="0"/>
          <w:w w:val="100"/>
          <w:position w:val="0"/>
          <w:shd w:val="clear" w:color="auto" w:fill="auto"/>
          <w:lang w:val="en-US" w:eastAsia="en-US" w:bidi="en-US"/>
        </w:rPr>
        <w:t>anno 410</w:t>
      </w:r>
      <w:r>
        <w:rPr>
          <w:spacing w:val="0"/>
          <w:w w:val="100"/>
          <w:position w:val="0"/>
          <w:shd w:val="clear" w:color="auto" w:fill="auto"/>
          <w:lang w:val="en-US" w:eastAsia="en-US" w:bidi="en-US"/>
        </w:rPr>
        <w:t xml:space="preserve"> ; comp.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E.</w:t>
      </w:r>
    </w:p>
    <w:p>
      <w:pPr>
        <w:pStyle w:val="Style6"/>
        <w:keepNext w:val="0"/>
        <w:keepLines w:val="0"/>
        <w:widowControl w:val="0"/>
        <w:shd w:val="clear" w:color="auto" w:fill="auto"/>
        <w:tabs>
          <w:tab w:pos="3719" w:val="left"/>
        </w:tabs>
        <w:bidi w:val="0"/>
        <w:spacing w:line="190" w:lineRule="auto"/>
        <w:ind w:left="0" w:firstLine="0"/>
        <w:jc w:val="left"/>
      </w:pPr>
      <w:r>
        <w:rPr>
          <w:spacing w:val="0"/>
          <w:w w:val="100"/>
          <w:position w:val="0"/>
          <w:shd w:val="clear" w:color="auto" w:fill="auto"/>
          <w:lang w:val="en-US" w:eastAsia="en-US" w:bidi="en-US"/>
        </w:rPr>
        <w:t xml:space="preserve">Assemani, </w:t>
      </w:r>
      <w:r>
        <w:rPr>
          <w:i/>
          <w:iCs/>
          <w:spacing w:val="0"/>
          <w:w w:val="100"/>
          <w:position w:val="0"/>
          <w:shd w:val="clear" w:color="auto" w:fill="auto"/>
          <w:lang w:val="en-US" w:eastAsia="en-US" w:bidi="en-US"/>
        </w:rPr>
        <w:t xml:space="preserve">Codd. MSS. orient. </w:t>
      </w:r>
      <w:r>
        <w:rPr>
          <w:i/>
          <w:iCs/>
          <w:spacing w:val="0"/>
          <w:w w:val="100"/>
          <w:position w:val="0"/>
          <w:shd w:val="clear" w:color="auto" w:fill="auto"/>
          <w:lang w:val="la-001" w:eastAsia="la-001" w:bidi="la-001"/>
        </w:rPr>
        <w:t xml:space="preserve">Bibl. Palat. </w:t>
      </w:r>
      <w:r>
        <w:rPr>
          <w:i/>
          <w:iCs/>
          <w:spacing w:val="0"/>
          <w:w w:val="100"/>
          <w:position w:val="0"/>
          <w:shd w:val="clear" w:color="auto" w:fill="auto"/>
          <w:lang w:val="en-US" w:eastAsia="en-US" w:bidi="en-US"/>
        </w:rPr>
        <w:t>Medic.,</w:t>
      </w:r>
      <w:r>
        <w:rPr>
          <w:spacing w:val="0"/>
          <w:w w:val="100"/>
          <w:position w:val="0"/>
          <w:shd w:val="clear" w:color="auto" w:fill="auto"/>
          <w:lang w:val="en-US" w:eastAsia="en-US" w:bidi="en-US"/>
        </w:rPr>
        <w:t xml:space="preserve"> p. 94.</w:t>
        <w:tab/>
      </w:r>
    </w:p>
    <w:p>
      <w:pPr>
        <w:pStyle w:val="Style6"/>
        <w:keepNext w:val="0"/>
        <w:keepLines w:val="0"/>
        <w:widowControl w:val="0"/>
        <w:shd w:val="clear" w:color="auto" w:fill="auto"/>
        <w:tabs>
          <w:tab w:pos="3719" w:val="left"/>
        </w:tabs>
        <w:bidi w:val="0"/>
        <w:spacing w:line="190" w:lineRule="auto"/>
        <w:ind w:left="0" w:firstLine="0"/>
        <w:jc w:val="left"/>
      </w:pPr>
      <w:r>
        <w:rPr>
          <w:spacing w:val="0"/>
          <w:w w:val="100"/>
          <w:position w:val="0"/>
          <w:shd w:val="clear" w:color="auto" w:fill="auto"/>
          <w:lang w:val="en-US" w:eastAsia="en-US" w:bidi="en-US"/>
        </w:rPr>
        <w:t xml:space="preserve">@@@6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15.</w:t>
      </w:r>
    </w:p>
    <w:p>
      <w:pPr>
        <w:pStyle w:val="Style6"/>
        <w:keepNext w:val="0"/>
        <w:keepLines w:val="0"/>
        <w:widowControl w:val="0"/>
        <w:shd w:val="clear" w:color="auto" w:fill="auto"/>
        <w:tabs>
          <w:tab w:pos="3582" w:val="left"/>
        </w:tabs>
        <w:bidi w:val="0"/>
        <w:spacing w:line="19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See also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181-194. There is a German translation by Zingerle, </w:t>
      </w:r>
      <w:r>
        <w:rPr>
          <w:i/>
          <w:iCs/>
          <w:spacing w:val="0"/>
          <w:w w:val="100"/>
          <w:position w:val="0"/>
          <w:shd w:val="clear" w:color="auto" w:fill="auto"/>
          <w:lang w:val="fr-FR" w:eastAsia="fr-FR" w:bidi="fr-FR"/>
        </w:rPr>
        <w:t xml:space="preserve">Edite </w:t>
      </w:r>
      <w:r>
        <w:rPr>
          <w:i/>
          <w:iCs/>
          <w:spacing w:val="0"/>
          <w:w w:val="100"/>
          <w:position w:val="0"/>
          <w:shd w:val="clear" w:color="auto" w:fill="auto"/>
          <w:lang w:val="de-DE" w:eastAsia="de-DE" w:bidi="de-DE"/>
        </w:rPr>
        <w:t>Acten der h</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Märtyrer </w:t>
      </w:r>
      <w:r>
        <w:rPr>
          <w:i/>
          <w:iCs/>
          <w:spacing w:val="0"/>
          <w:w w:val="100"/>
          <w:position w:val="0"/>
          <w:shd w:val="clear" w:color="auto" w:fill="auto"/>
          <w:lang w:val="fr-FR" w:eastAsia="fr-FR" w:bidi="fr-FR"/>
        </w:rPr>
        <w:t xml:space="preserve">des </w:t>
      </w:r>
      <w:r>
        <w:rPr>
          <w:i/>
          <w:iCs/>
          <w:spacing w:val="0"/>
          <w:w w:val="100"/>
          <w:position w:val="0"/>
          <w:shd w:val="clear" w:color="auto" w:fill="auto"/>
          <w:lang w:val="de-DE" w:eastAsia="de-DE" w:bidi="de-DE"/>
        </w:rPr>
        <w:t>Morgenlandes,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1836.</w:t>
        <w:tab/>
      </w:r>
    </w:p>
    <w:p>
      <w:pPr>
        <w:pStyle w:val="Style6"/>
        <w:keepNext w:val="0"/>
        <w:keepLines w:val="0"/>
        <w:widowControl w:val="0"/>
        <w:shd w:val="clear" w:color="auto" w:fill="auto"/>
        <w:tabs>
          <w:tab w:pos="3582" w:val="left"/>
        </w:tabs>
        <w:bidi w:val="0"/>
        <w:spacing w:line="190" w:lineRule="auto"/>
        <w:ind w:left="0" w:firstLine="0"/>
        <w:jc w:val="left"/>
      </w:pPr>
      <w:r>
        <w:rPr>
          <w:spacing w:val="0"/>
          <w:w w:val="100"/>
          <w:position w:val="0"/>
          <w:shd w:val="clear" w:color="auto" w:fill="auto"/>
          <w:lang w:val="en-US" w:eastAsia="en-US" w:bidi="en-US"/>
        </w:rPr>
        <w:t xml:space="preserve">@@@8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 </w:t>
      </w:r>
      <w:r>
        <w:rPr>
          <w:spacing w:val="0"/>
          <w:w w:val="100"/>
          <w:position w:val="0"/>
          <w:shd w:val="clear" w:color="auto" w:fill="auto"/>
          <w:lang w:val="en-US" w:eastAsia="en-US" w:bidi="en-US"/>
        </w:rPr>
        <w:t>179.</w:t>
      </w:r>
    </w:p>
    <w:p>
      <w:pPr>
        <w:pStyle w:val="Style6"/>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 xml:space="preserve">@@@9 </w:t>
      </w:r>
      <w:r>
        <w:rPr>
          <w:i/>
          <w:iCs/>
          <w:spacing w:val="0"/>
          <w:w w:val="100"/>
          <w:position w:val="0"/>
          <w:shd w:val="clear" w:color="auto" w:fill="auto"/>
          <w:lang w:val="fr-FR" w:eastAsia="fr-FR" w:bidi="fr-FR"/>
        </w:rPr>
        <w:t>Ibid.,</w:t>
      </w:r>
      <w:r>
        <w:rPr>
          <w:spacing w:val="0"/>
          <w:w w:val="100"/>
          <w:position w:val="0"/>
          <w:shd w:val="clear" w:color="auto" w:fill="auto"/>
          <w:lang w:val="fr-FR" w:eastAsia="fr-FR" w:bidi="fr-FR"/>
        </w:rPr>
        <w:t xml:space="preserve"> ii. </w:t>
      </w:r>
      <w:r>
        <w:rPr>
          <w:spacing w:val="0"/>
          <w:w w:val="100"/>
          <w:position w:val="0"/>
          <w:shd w:val="clear" w:color="auto" w:fill="auto"/>
          <w:lang w:val="en-US" w:eastAsia="en-US" w:bidi="en-US"/>
        </w:rPr>
        <w:t xml:space="preserve">401, </w:t>
      </w:r>
      <w:r>
        <w:rPr>
          <w:spacing w:val="0"/>
          <w:w w:val="100"/>
          <w:position w:val="0"/>
          <w:shd w:val="clear" w:color="auto" w:fill="auto"/>
          <w:lang w:val="fr-FR" w:eastAsia="fr-FR" w:bidi="fr-FR"/>
        </w:rPr>
        <w:t xml:space="preserve">iii. </w:t>
      </w:r>
      <w:r>
        <w:rPr>
          <w:spacing w:val="0"/>
          <w:w w:val="100"/>
          <w:position w:val="0"/>
          <w:shd w:val="clear" w:color="auto" w:fill="auto"/>
          <w:lang w:val="en-US" w:eastAsia="en-US" w:bidi="en-US"/>
        </w:rPr>
        <w:t xml:space="preserve">1, 369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also </w:t>
      </w:r>
      <w:r>
        <w:rPr>
          <w:spacing w:val="0"/>
          <w:w w:val="100"/>
          <w:position w:val="0"/>
          <w:shd w:val="clear" w:color="auto" w:fill="auto"/>
          <w:lang w:val="fr-FR" w:eastAsia="fr-FR" w:bidi="fr-FR"/>
        </w:rPr>
        <w:t xml:space="preserve">Abbeloos, </w:t>
      </w:r>
      <w:r>
        <w:rPr>
          <w:i/>
          <w:iCs/>
          <w:spacing w:val="0"/>
          <w:w w:val="100"/>
          <w:position w:val="0"/>
          <w:shd w:val="clear" w:color="auto" w:fill="auto"/>
          <w:lang w:val="fr-FR" w:eastAsia="fr-FR" w:bidi="fr-FR"/>
        </w:rPr>
        <w:t>Acta S. Maris,</w:t>
      </w:r>
      <w:r>
        <w:rPr>
          <w:spacing w:val="0"/>
          <w:w w:val="100"/>
          <w:position w:val="0"/>
          <w:shd w:val="clear" w:color="auto" w:fill="auto"/>
          <w:lang w:val="fr-FR" w:eastAsia="fr-FR" w:bidi="fr-FR"/>
        </w:rPr>
        <w:t xml:space="preserve"> pp. </w:t>
      </w:r>
      <w:r>
        <w:rPr>
          <w:spacing w:val="0"/>
          <w:w w:val="100"/>
          <w:position w:val="0"/>
          <w:shd w:val="clear" w:color="auto" w:fill="auto"/>
          <w:lang w:val="en-US" w:eastAsia="en-US" w:bidi="en-US"/>
        </w:rPr>
        <w:t xml:space="preserve">72 </w:t>
      </w:r>
      <w:r>
        <w:rPr>
          <w:i/>
          <w:iCs/>
          <w:spacing w:val="0"/>
          <w:w w:val="100"/>
          <w:position w:val="0"/>
          <w:shd w:val="clear" w:color="auto" w:fill="auto"/>
          <w:lang w:val="fr-FR" w:eastAsia="fr-FR" w:bidi="fr-FR"/>
        </w:rPr>
        <w:t>sq.,</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88.</w:t>
      </w:r>
    </w:p>
    <w:p>
      <w:pPr>
        <w:pStyle w:val="Style6"/>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fr-FR" w:eastAsia="fr-FR" w:bidi="fr-FR"/>
        </w:rPr>
        <w:t>B. O.,</w:t>
      </w:r>
      <w:r>
        <w:rPr>
          <w:spacing w:val="0"/>
          <w:w w:val="100"/>
          <w:position w:val="0"/>
          <w:shd w:val="clear" w:color="auto" w:fill="auto"/>
          <w:lang w:val="fr-FR" w:eastAsia="fr-FR" w:bidi="fr-FR"/>
        </w:rPr>
        <w:t xml:space="preserve"> i. </w:t>
      </w:r>
      <w:r>
        <w:rPr>
          <w:spacing w:val="0"/>
          <w:w w:val="100"/>
          <w:position w:val="0"/>
          <w:shd w:val="clear" w:color="auto" w:fill="auto"/>
          <w:lang w:val="en-US" w:eastAsia="en-US" w:bidi="en-US"/>
        </w:rPr>
        <w:t>353, 406.</w:t>
      </w:r>
    </w:p>
    <w:p>
      <w:pPr>
        <w:pStyle w:val="Style6"/>
        <w:keepNext w:val="0"/>
        <w:keepLines w:val="0"/>
        <w:widowControl w:val="0"/>
        <w:shd w:val="clear" w:color="auto" w:fill="auto"/>
        <w:tabs>
          <w:tab w:pos="799" w:val="left"/>
          <w:tab w:pos="1872" w:val="left"/>
        </w:tabs>
        <w:bidi w:val="0"/>
        <w:spacing w:line="19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See his biography </w:t>
      </w:r>
      <w:r>
        <w:rPr>
          <w:spacing w:val="0"/>
          <w:w w:val="100"/>
          <w:position w:val="0"/>
          <w:shd w:val="clear" w:color="auto" w:fill="auto"/>
          <w:lang w:val="de-DE" w:eastAsia="de-DE" w:bidi="de-DE"/>
        </w:rPr>
        <w:t xml:space="preserve">in Overbeck,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Ephraemi,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&amp;c., </w:t>
      </w:r>
      <w:r>
        <w:rPr>
          <w:i/>
          <w:iCs/>
          <w:spacing w:val="0"/>
          <w:w w:val="100"/>
          <w:position w:val="0"/>
          <w:shd w:val="clear" w:color="auto" w:fill="auto"/>
          <w:lang w:val="la-001" w:eastAsia="la-001" w:bidi="la-001"/>
        </w:rPr>
        <w:t>Opera Selecta,</w:t>
      </w:r>
      <w:r>
        <w:rPr>
          <w:spacing w:val="0"/>
          <w:w w:val="100"/>
          <w:position w:val="0"/>
          <w:shd w:val="clear" w:color="auto" w:fill="auto"/>
          <w:lang w:val="la-001" w:eastAsia="la-001" w:bidi="la-001"/>
        </w:rPr>
        <w:t xml:space="preserve"> p. </w:t>
      </w:r>
      <w:r>
        <w:rPr>
          <w:spacing w:val="0"/>
          <w:w w:val="100"/>
          <w:position w:val="0"/>
          <w:shd w:val="clear" w:color="auto" w:fill="auto"/>
          <w:lang w:val="en-US" w:eastAsia="en-US" w:bidi="en-US"/>
        </w:rPr>
        <w:t xml:space="preserve">159 </w:t>
      </w:r>
      <w:r>
        <w:rPr>
          <w:i/>
          <w:iCs/>
          <w:spacing w:val="0"/>
          <w:w w:val="100"/>
          <w:position w:val="0"/>
          <w:shd w:val="clear" w:color="auto" w:fill="auto"/>
          <w:lang w:val="la-001" w:eastAsia="la-001" w:bidi="la-001"/>
        </w:rPr>
        <w:t xml:space="preserve">sq., </w:t>
      </w:r>
      <w:r>
        <w:rPr>
          <w:spacing w:val="0"/>
          <w:w w:val="100"/>
          <w:position w:val="0"/>
          <w:shd w:val="clear" w:color="auto" w:fill="auto"/>
          <w:lang w:val="en-US" w:eastAsia="en-US" w:bidi="en-US"/>
        </w:rPr>
        <w:t xml:space="preserve">especially pp. </w:t>
      </w:r>
      <w:r>
        <w:rPr>
          <w:spacing w:val="0"/>
          <w:w w:val="100"/>
          <w:position w:val="0"/>
          <w:shd w:val="clear" w:color="auto" w:fill="auto"/>
          <w:lang w:val="la-001" w:eastAsia="la-001" w:bidi="la-001"/>
        </w:rPr>
        <w:t xml:space="preserve">170-181 ; </w:t>
      </w:r>
      <w:r>
        <w:rPr>
          <w:spacing w:val="0"/>
          <w:w w:val="100"/>
          <w:position w:val="0"/>
          <w:shd w:val="clear" w:color="auto" w:fill="auto"/>
          <w:lang w:val="en-US" w:eastAsia="en-US" w:bidi="en-US"/>
        </w:rPr>
        <w:t xml:space="preserve">translated by </w:t>
      </w:r>
      <w:r>
        <w:rPr>
          <w:spacing w:val="0"/>
          <w:w w:val="100"/>
          <w:position w:val="0"/>
          <w:shd w:val="clear" w:color="auto" w:fill="auto"/>
          <w:lang w:val="la-001" w:eastAsia="la-001" w:bidi="la-001"/>
        </w:rPr>
        <w:t xml:space="preserve">Bickell, in Thalhofer's </w:t>
      </w:r>
      <w:r>
        <w:rPr>
          <w:i/>
          <w:iCs/>
          <w:spacing w:val="0"/>
          <w:w w:val="100"/>
          <w:position w:val="0"/>
          <w:shd w:val="clear" w:color="auto" w:fill="auto"/>
          <w:lang w:val="de-DE" w:eastAsia="de-DE" w:bidi="de-DE"/>
        </w:rPr>
        <w:t>Bibliothek,</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Nos. </w:t>
      </w:r>
      <w:r>
        <w:rPr>
          <w:spacing w:val="0"/>
          <w:w w:val="100"/>
          <w:position w:val="0"/>
          <w:shd w:val="clear" w:color="auto" w:fill="auto"/>
          <w:lang w:val="en-US" w:eastAsia="en-US" w:bidi="en-US"/>
        </w:rPr>
        <w:t>102-104.</w:t>
        <w:tab/>
      </w:r>
    </w:p>
    <w:p>
      <w:pPr>
        <w:pStyle w:val="Style6"/>
        <w:keepNext w:val="0"/>
        <w:keepLines w:val="0"/>
        <w:widowControl w:val="0"/>
        <w:shd w:val="clear" w:color="auto" w:fill="auto"/>
        <w:tabs>
          <w:tab w:pos="799" w:val="left"/>
          <w:tab w:pos="1872" w:val="left"/>
        </w:tabs>
        <w:bidi w:val="0"/>
        <w:spacing w:line="190" w:lineRule="auto"/>
        <w:ind w:left="0" w:firstLine="0"/>
        <w:jc w:val="left"/>
      </w:pPr>
      <w:r>
        <w:rPr>
          <w:spacing w:val="0"/>
          <w:w w:val="100"/>
          <w:position w:val="0"/>
          <w:shd w:val="clear" w:color="auto" w:fill="auto"/>
          <w:lang w:val="en-US" w:eastAsia="en-US" w:bidi="en-US"/>
        </w:rPr>
        <w:t xml:space="preserve">@@@12 </w:t>
      </w:r>
      <w:r>
        <w:rPr>
          <w:i/>
          <w:iCs/>
          <w:spacing w:val="0"/>
          <w:w w:val="100"/>
          <w:position w:val="0"/>
          <w:shd w:val="clear" w:color="auto" w:fill="auto"/>
          <w:lang w:val="la-001" w:eastAsia="la-001" w:bidi="la-001"/>
        </w:rPr>
        <w:t>B.O.,</w:t>
      </w:r>
      <w:r>
        <w:rPr>
          <w:spacing w:val="0"/>
          <w:w w:val="100"/>
          <w:position w:val="0"/>
          <w:shd w:val="clear" w:color="auto" w:fill="auto"/>
          <w:lang w:val="la-001" w:eastAsia="la-001" w:bidi="la-001"/>
        </w:rPr>
        <w:t xml:space="preserve"> i. </w:t>
      </w:r>
      <w:r>
        <w:rPr>
          <w:spacing w:val="0"/>
          <w:w w:val="100"/>
          <w:position w:val="0"/>
          <w:shd w:val="clear" w:color="auto" w:fill="auto"/>
          <w:lang w:val="en-US" w:eastAsia="en-US" w:bidi="en-US"/>
        </w:rPr>
        <w:t>403.</w:t>
        <w:tab/>
      </w:r>
    </w:p>
    <w:p>
      <w:pPr>
        <w:pStyle w:val="Style6"/>
        <w:keepNext w:val="0"/>
        <w:keepLines w:val="0"/>
        <w:widowControl w:val="0"/>
        <w:shd w:val="clear" w:color="auto" w:fill="auto"/>
        <w:tabs>
          <w:tab w:pos="799" w:val="left"/>
          <w:tab w:pos="1872" w:val="left"/>
        </w:tabs>
        <w:bidi w:val="0"/>
        <w:spacing w:line="190" w:lineRule="auto"/>
        <w:ind w:left="0" w:firstLine="0"/>
        <w:jc w:val="left"/>
      </w:pPr>
      <w:r>
        <w:rPr>
          <w:spacing w:val="0"/>
          <w:w w:val="100"/>
          <w:position w:val="0"/>
          <w:shd w:val="clear" w:color="auto" w:fill="auto"/>
          <w:lang w:val="en-US" w:eastAsia="en-US" w:bidi="en-US"/>
        </w:rPr>
        <w:t xml:space="preserve">@@@13 </w:t>
      </w:r>
      <w:r>
        <w:rPr>
          <w:i/>
          <w:iCs/>
          <w:spacing w:val="0"/>
          <w:w w:val="100"/>
          <w:position w:val="0"/>
          <w:shd w:val="clear" w:color="auto" w:fill="auto"/>
          <w:lang w:val="en-US" w:eastAsia="en-US" w:bidi="en-US"/>
        </w:rPr>
        <w:t xml:space="preserve">Codd. MSS. </w:t>
      </w:r>
      <w:r>
        <w:rPr>
          <w:i/>
          <w:iCs/>
          <w:spacing w:val="0"/>
          <w:w w:val="100"/>
          <w:position w:val="0"/>
          <w:shd w:val="clear" w:color="auto" w:fill="auto"/>
          <w:lang w:val="de-DE" w:eastAsia="de-DE" w:bidi="de-DE"/>
        </w:rPr>
        <w:t xml:space="preserve">Orient. </w:t>
      </w:r>
      <w:r>
        <w:rPr>
          <w:i/>
          <w:iCs/>
          <w:spacing w:val="0"/>
          <w:w w:val="100"/>
          <w:position w:val="0"/>
          <w:shd w:val="clear" w:color="auto" w:fill="auto"/>
          <w:lang w:val="la-001" w:eastAsia="la-001" w:bidi="la-001"/>
        </w:rPr>
        <w:t>Bibl. Palat. Medic.,</w:t>
      </w:r>
      <w:r>
        <w:rPr>
          <w:spacing w:val="0"/>
          <w:w w:val="100"/>
          <w:position w:val="0"/>
          <w:shd w:val="clear" w:color="auto" w:fill="auto"/>
          <w:lang w:val="la-001" w:eastAsia="la-001" w:bidi="la-001"/>
        </w:rPr>
        <w:t xml:space="preserve"> p. </w:t>
      </w:r>
      <w:r>
        <w:rPr>
          <w:spacing w:val="0"/>
          <w:w w:val="100"/>
          <w:position w:val="0"/>
          <w:shd w:val="clear" w:color="auto" w:fill="auto"/>
          <w:lang w:val="en-US" w:eastAsia="en-US" w:bidi="en-US"/>
        </w:rPr>
        <w:t>107.</w:t>
      </w:r>
    </w:p>
    <w:p>
      <w:pPr>
        <w:pStyle w:val="Style6"/>
        <w:keepNext w:val="0"/>
        <w:keepLines w:val="0"/>
        <w:widowControl w:val="0"/>
        <w:shd w:val="clear" w:color="auto" w:fill="auto"/>
        <w:tabs>
          <w:tab w:pos="925" w:val="left"/>
          <w:tab w:pos="2585" w:val="left"/>
        </w:tabs>
        <w:bidi w:val="0"/>
        <w:spacing w:line="190" w:lineRule="auto"/>
        <w:ind w:left="0" w:firstLine="0"/>
        <w:jc w:val="left"/>
      </w:pPr>
      <w:r>
        <w:rPr>
          <w:spacing w:val="0"/>
          <w:w w:val="100"/>
          <w:position w:val="0"/>
          <w:shd w:val="clear" w:color="auto" w:fill="auto"/>
          <w:lang w:val="en-US" w:eastAsia="en-US" w:bidi="en-US"/>
        </w:rPr>
        <w:t xml:space="preserve">@@@14 </w:t>
      </w:r>
      <w:r>
        <w:rPr>
          <w:spacing w:val="0"/>
          <w:w w:val="100"/>
          <w:position w:val="0"/>
          <w:shd w:val="clear" w:color="auto" w:fill="auto"/>
          <w:lang w:val="de-DE" w:eastAsia="de-DE" w:bidi="de-DE"/>
        </w:rPr>
        <w:t xml:space="preserve">See Overbeck, </w:t>
      </w:r>
      <w:r>
        <w:rPr>
          <w:i/>
          <w:iCs/>
          <w:spacing w:val="0"/>
          <w:w w:val="100"/>
          <w:position w:val="0"/>
          <w:shd w:val="clear" w:color="auto" w:fill="auto"/>
          <w:lang w:val="la-001" w:eastAsia="la-001" w:bidi="la-001"/>
        </w:rPr>
        <w:t>S</w:t>
      </w:r>
      <w:r>
        <w:rPr>
          <w:spacing w:val="0"/>
          <w:w w:val="100"/>
          <w:position w:val="0"/>
          <w:shd w:val="clear" w:color="auto" w:fill="auto"/>
          <w:lang w:val="la-001" w:eastAsia="la-001" w:bidi="la-001"/>
        </w:rPr>
        <w:t xml:space="preserve">. </w:t>
      </w:r>
      <w:r>
        <w:rPr>
          <w:i/>
          <w:iCs/>
          <w:spacing w:val="0"/>
          <w:w w:val="100"/>
          <w:position w:val="0"/>
          <w:shd w:val="clear" w:color="auto" w:fill="auto"/>
          <w:lang w:val="en-US" w:eastAsia="en-US" w:bidi="en-US"/>
        </w:rPr>
        <w:t>Ephraemi,</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239-244 ; translated by Bickell.</w:t>
        <w:tab/>
      </w:r>
    </w:p>
    <w:p>
      <w:pPr>
        <w:pStyle w:val="Style6"/>
        <w:keepNext w:val="0"/>
        <w:keepLines w:val="0"/>
        <w:widowControl w:val="0"/>
        <w:shd w:val="clear" w:color="auto" w:fill="auto"/>
        <w:tabs>
          <w:tab w:pos="925" w:val="left"/>
          <w:tab w:pos="2585" w:val="left"/>
        </w:tabs>
        <w:bidi w:val="0"/>
        <w:spacing w:line="190" w:lineRule="auto"/>
        <w:ind w:left="0" w:firstLine="0"/>
        <w:jc w:val="left"/>
      </w:pPr>
      <w:r>
        <w:rPr>
          <w:spacing w:val="0"/>
          <w:w w:val="100"/>
          <w:position w:val="0"/>
          <w:shd w:val="clear" w:color="auto" w:fill="auto"/>
          <w:lang w:val="en-US" w:eastAsia="en-US" w:bidi="en-US"/>
        </w:rPr>
        <w:t xml:space="preserve">@@@&gt;5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pp. 210-221.</w:t>
        <w:tab/>
      </w:r>
    </w:p>
    <w:p>
      <w:pPr>
        <w:pStyle w:val="Style6"/>
        <w:keepNext w:val="0"/>
        <w:keepLines w:val="0"/>
        <w:widowControl w:val="0"/>
        <w:shd w:val="clear" w:color="auto" w:fill="auto"/>
        <w:tabs>
          <w:tab w:pos="925" w:val="left"/>
          <w:tab w:pos="2585" w:val="left"/>
        </w:tabs>
        <w:bidi w:val="0"/>
        <w:spacing w:line="190" w:lineRule="auto"/>
        <w:ind w:left="0" w:firstLine="0"/>
        <w:jc w:val="left"/>
      </w:pP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pp. 245-248, 362-378.</w:t>
      </w:r>
    </w:p>
    <w:p>
      <w:pPr>
        <w:pStyle w:val="Style6"/>
        <w:keepNext w:val="0"/>
        <w:keepLines w:val="0"/>
        <w:widowControl w:val="0"/>
        <w:shd w:val="clear" w:color="auto" w:fill="auto"/>
        <w:tabs>
          <w:tab w:pos="158" w:val="left"/>
        </w:tabs>
        <w:bidi w:val="0"/>
        <w:spacing w:line="190" w:lineRule="auto"/>
        <w:ind w:left="0" w:firstLine="0"/>
        <w:jc w:val="left"/>
      </w:pPr>
      <w:r>
        <w:rPr>
          <w:spacing w:val="0"/>
          <w:w w:val="100"/>
          <w:position w:val="0"/>
          <w:shd w:val="clear" w:color="auto" w:fill="auto"/>
          <w:lang w:val="en-US" w:eastAsia="en-US" w:bidi="en-US"/>
        </w:rPr>
        <w:t>@@@17</w:t>
        <w:tab/>
        <w:t xml:space="preserve">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719.</w:t>
      </w:r>
    </w:p>
    <w:p>
      <w:pPr>
        <w:pStyle w:val="Style6"/>
        <w:keepNext w:val="0"/>
        <w:keepLines w:val="0"/>
        <w:widowControl w:val="0"/>
        <w:shd w:val="clear" w:color="auto" w:fill="auto"/>
        <w:tabs>
          <w:tab w:pos="158" w:val="left"/>
        </w:tabs>
        <w:bidi w:val="0"/>
        <w:spacing w:line="190" w:lineRule="auto"/>
        <w:ind w:left="0" w:firstLine="0"/>
        <w:jc w:val="left"/>
      </w:pPr>
      <w:r>
        <w:rPr>
          <w:spacing w:val="0"/>
          <w:w w:val="100"/>
          <w:position w:val="0"/>
          <w:shd w:val="clear" w:color="auto" w:fill="auto"/>
          <w:lang w:val="en-US" w:eastAsia="en-US" w:bidi="en-US"/>
        </w:rPr>
        <w:t>@@@18</w:t>
        <w:tab/>
        <w:t xml:space="preserve">Comp, the letter of Cyril to </w:t>
      </w:r>
      <w:r>
        <w:rPr>
          <w:rStyle w:val="CharStyle3"/>
          <w:lang w:val="de-DE" w:eastAsia="de-DE" w:bidi="de-DE"/>
        </w:rPr>
        <w:t>Rabb</w:t>
      </w:r>
      <w:r>
        <w:rPr>
          <w:rStyle w:val="CharStyle3"/>
        </w:rPr>
        <w:t>ū</w:t>
      </w:r>
      <w:r>
        <w:rPr>
          <w:rStyle w:val="CharStyle3"/>
          <w:lang w:val="de-DE" w:eastAsia="de-DE" w:bidi="de-DE"/>
        </w:rPr>
        <w:t>l</w:t>
      </w:r>
      <w:r>
        <w:rPr>
          <w:rStyle w:val="CharStyle3"/>
        </w:rPr>
        <w:t>ā</w:t>
      </w:r>
      <w:r>
        <w:rPr>
          <w:spacing w:val="0"/>
          <w:w w:val="100"/>
          <w:position w:val="0"/>
          <w:shd w:val="clear" w:color="auto" w:fill="auto"/>
          <w:lang w:val="de-DE" w:eastAsia="de-DE" w:bidi="de-DE"/>
        </w:rPr>
        <w:t xml:space="preserve">, Overbeck,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228-229.</w:t>
      </w:r>
    </w:p>
    <w:p>
      <w:pPr>
        <w:pStyle w:val="Style6"/>
        <w:keepNext w:val="0"/>
        <w:keepLines w:val="0"/>
        <w:widowControl w:val="0"/>
        <w:shd w:val="clear" w:color="auto" w:fill="auto"/>
        <w:tabs>
          <w:tab w:pos="158" w:val="left"/>
          <w:tab w:pos="2920" w:val="left"/>
        </w:tabs>
        <w:bidi w:val="0"/>
        <w:spacing w:line="190" w:lineRule="auto"/>
        <w:ind w:left="0" w:firstLine="0"/>
        <w:jc w:val="left"/>
      </w:pPr>
      <w:r>
        <w:rPr>
          <w:spacing w:val="0"/>
          <w:w w:val="100"/>
          <w:position w:val="0"/>
          <w:shd w:val="clear" w:color="auto" w:fill="auto"/>
          <w:lang w:val="en-US" w:eastAsia="en-US" w:bidi="en-US"/>
        </w:rPr>
        <w:t>@@@19</w:t>
        <w:tab/>
        <w:t xml:space="preserve">See </w:t>
      </w:r>
      <w:r>
        <w:rPr>
          <w:spacing w:val="0"/>
          <w:w w:val="100"/>
          <w:position w:val="0"/>
          <w:shd w:val="clear" w:color="auto" w:fill="auto"/>
          <w:lang w:val="de-DE" w:eastAsia="de-DE" w:bidi="de-DE"/>
        </w:rPr>
        <w:t xml:space="preserve">Overbeck,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200.</w:t>
        <w:tab/>
      </w:r>
    </w:p>
    <w:p>
      <w:pPr>
        <w:pStyle w:val="Style6"/>
        <w:keepNext w:val="0"/>
        <w:keepLines w:val="0"/>
        <w:widowControl w:val="0"/>
        <w:shd w:val="clear" w:color="auto" w:fill="auto"/>
        <w:tabs>
          <w:tab w:pos="158" w:val="left"/>
          <w:tab w:pos="2920" w:val="left"/>
        </w:tabs>
        <w:bidi w:val="0"/>
        <w:spacing w:line="190" w:lineRule="auto"/>
        <w:ind w:left="0" w:firstLine="0"/>
        <w:jc w:val="left"/>
      </w:pPr>
      <w:r>
        <w:rPr>
          <w:spacing w:val="0"/>
          <w:w w:val="100"/>
          <w:position w:val="0"/>
          <w:shd w:val="clear" w:color="auto" w:fill="auto"/>
          <w:lang w:val="en-US" w:eastAsia="en-US" w:bidi="en-US"/>
        </w:rPr>
        <w:t xml:space="preserve">@@@20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222.</w:t>
      </w:r>
    </w:p>
    <w:p>
      <w:pPr>
        <w:pStyle w:val="Style6"/>
        <w:keepNext w:val="0"/>
        <w:keepLines w:val="0"/>
        <w:widowControl w:val="0"/>
        <w:shd w:val="clear" w:color="auto" w:fill="auto"/>
        <w:tabs>
          <w:tab w:pos="162" w:val="left"/>
        </w:tabs>
        <w:bidi w:val="0"/>
        <w:spacing w:line="190" w:lineRule="auto"/>
        <w:ind w:left="0" w:firstLine="0"/>
        <w:jc w:val="left"/>
      </w:pPr>
      <w:r>
        <w:rPr>
          <w:spacing w:val="0"/>
          <w:w w:val="100"/>
          <w:position w:val="0"/>
          <w:shd w:val="clear" w:color="auto" w:fill="auto"/>
          <w:lang w:val="en-US" w:eastAsia="en-US" w:bidi="en-US"/>
        </w:rPr>
        <w:t>@@@21</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223, a fragment.</w:t>
      </w:r>
    </w:p>
    <w:p>
      <w:pPr>
        <w:pStyle w:val="Style6"/>
        <w:keepNext w:val="0"/>
        <w:keepLines w:val="0"/>
        <w:widowControl w:val="0"/>
        <w:shd w:val="clear" w:color="auto" w:fill="auto"/>
        <w:tabs>
          <w:tab w:pos="162" w:val="left"/>
        </w:tabs>
        <w:bidi w:val="0"/>
        <w:spacing w:line="190" w:lineRule="auto"/>
        <w:ind w:left="0" w:firstLine="0"/>
        <w:jc w:val="left"/>
      </w:pPr>
      <w:r>
        <w:rPr>
          <w:spacing w:val="0"/>
          <w:w w:val="100"/>
          <w:position w:val="0"/>
          <w:shd w:val="clear" w:color="auto" w:fill="auto"/>
          <w:lang w:val="en-US" w:eastAsia="en-US" w:bidi="en-US"/>
        </w:rPr>
        <w:t>@@@22</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pp. 230-238. The shorter fragment should follow the longer one.</w:t>
      </w:r>
    </w:p>
    <w:p>
      <w:pPr>
        <w:pStyle w:val="Style6"/>
        <w:keepNext w:val="0"/>
        <w:keepLines w:val="0"/>
        <w:widowControl w:val="0"/>
        <w:shd w:val="clear" w:color="auto" w:fill="auto"/>
        <w:tabs>
          <w:tab w:pos="1174" w:val="left"/>
        </w:tabs>
        <w:bidi w:val="0"/>
        <w:spacing w:line="194" w:lineRule="auto"/>
        <w:ind w:left="0" w:firstLine="360"/>
        <w:jc w:val="left"/>
      </w:pPr>
      <w:r>
        <w:rPr>
          <w:spacing w:val="0"/>
          <w:w w:val="100"/>
          <w:position w:val="0"/>
          <w:shd w:val="clear" w:color="auto" w:fill="auto"/>
          <w:lang w:val="en-US" w:eastAsia="en-US" w:bidi="en-US"/>
        </w:rPr>
        <w:t xml:space="preserve">@@@23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199.</w:t>
        <w:tab/>
      </w:r>
    </w:p>
    <w:p>
      <w:pPr>
        <w:pStyle w:val="Style6"/>
        <w:keepNext w:val="0"/>
        <w:keepLines w:val="0"/>
        <w:widowControl w:val="0"/>
        <w:shd w:val="clear" w:color="auto" w:fill="auto"/>
        <w:tabs>
          <w:tab w:pos="1174" w:val="left"/>
        </w:tabs>
        <w:bidi w:val="0"/>
        <w:spacing w:line="194" w:lineRule="auto"/>
        <w:ind w:left="0" w:firstLine="360"/>
        <w:jc w:val="left"/>
      </w:pPr>
      <w:r>
        <w:rPr>
          <w:spacing w:val="0"/>
          <w:w w:val="100"/>
          <w:position w:val="0"/>
          <w:shd w:val="clear" w:color="auto" w:fill="auto"/>
          <w:lang w:val="en-US" w:eastAsia="en-US" w:bidi="en-US"/>
        </w:rPr>
        <w:t xml:space="preserve">@@@24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85 ;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107, col. 2, 644, col. 1.</w:t>
      </w:r>
    </w:p>
    <w:p>
      <w:pPr>
        <w:pStyle w:val="Style6"/>
        <w:keepNext w:val="0"/>
        <w:keepLines w:val="0"/>
        <w:widowControl w:val="0"/>
        <w:shd w:val="clear" w:color="auto" w:fill="auto"/>
        <w:tabs>
          <w:tab w:pos="338" w:val="left"/>
        </w:tabs>
        <w:bidi w:val="0"/>
        <w:spacing w:line="194" w:lineRule="auto"/>
        <w:ind w:left="0" w:firstLine="360"/>
        <w:jc w:val="left"/>
      </w:pPr>
      <w:r>
        <w:rPr>
          <w:spacing w:val="0"/>
          <w:w w:val="100"/>
          <w:position w:val="0"/>
          <w:shd w:val="clear" w:color="auto" w:fill="auto"/>
          <w:lang w:val="en-US" w:eastAsia="en-US" w:bidi="en-US"/>
        </w:rPr>
        <w:t>@@@25</w:t>
        <w:tab/>
        <w:t xml:space="preserve">See Labbe, </w:t>
      </w:r>
      <w:r>
        <w:rPr>
          <w:i/>
          <w:iCs/>
          <w:spacing w:val="0"/>
          <w:w w:val="100"/>
          <w:position w:val="0"/>
          <w:shd w:val="clear" w:color="auto" w:fill="auto"/>
          <w:lang w:val="en-US" w:eastAsia="en-US" w:bidi="en-US"/>
        </w:rPr>
        <w:t>Concil.,</w:t>
      </w:r>
      <w:r>
        <w:rPr>
          <w:spacing w:val="0"/>
          <w:w w:val="100"/>
          <w:position w:val="0"/>
          <w:shd w:val="clear" w:color="auto" w:fill="auto"/>
          <w:lang w:val="en-US" w:eastAsia="en-US" w:bidi="en-US"/>
        </w:rPr>
        <w:t xml:space="preserve"> ix. 51 ; Mansi, vii. 241.</w:t>
      </w:r>
    </w:p>
    <w:p>
      <w:pPr>
        <w:pStyle w:val="Style6"/>
        <w:keepNext w:val="0"/>
        <w:keepLines w:val="0"/>
        <w:widowControl w:val="0"/>
        <w:shd w:val="clear" w:color="auto" w:fill="auto"/>
        <w:tabs>
          <w:tab w:pos="338" w:val="left"/>
        </w:tabs>
        <w:bidi w:val="0"/>
        <w:spacing w:line="194" w:lineRule="auto"/>
        <w:ind w:left="0" w:firstLine="360"/>
        <w:jc w:val="left"/>
      </w:pPr>
      <w:r>
        <w:rPr>
          <w:spacing w:val="0"/>
          <w:w w:val="100"/>
          <w:position w:val="0"/>
          <w:shd w:val="clear" w:color="auto" w:fill="auto"/>
          <w:lang w:val="en-US" w:eastAsia="en-US" w:bidi="en-US"/>
        </w:rPr>
        <w:t>@@@26</w:t>
        <w:tab/>
        <w:t xml:space="preserve">The so-called </w:t>
      </w:r>
      <w:r>
        <w:rPr>
          <w:i/>
          <w:iCs/>
          <w:spacing w:val="0"/>
          <w:w w:val="100"/>
          <w:position w:val="0"/>
          <w:shd w:val="clear" w:color="auto" w:fill="auto"/>
          <w:lang w:val="en-US" w:eastAsia="en-US" w:bidi="en-US"/>
        </w:rPr>
        <w:t>λῃ</w:t>
      </w:r>
      <w:r>
        <w:rPr>
          <w:i/>
          <w:iCs/>
          <w:spacing w:val="0"/>
          <w:w w:val="100"/>
          <w:position w:val="0"/>
          <w:shd w:val="clear" w:color="auto" w:fill="auto"/>
          <w:lang w:val="en-US" w:eastAsia="en-US" w:bidi="en-US"/>
        </w:rPr>
        <w:t>στ</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ικ</w:t>
      </w:r>
      <w:r>
        <w:rPr>
          <w:i/>
          <w:iCs/>
          <w:spacing w:val="0"/>
          <w:w w:val="100"/>
          <w:position w:val="0"/>
          <w:shd w:val="clear" w:color="auto" w:fill="auto"/>
          <w:lang w:val="en-US" w:eastAsia="en-US" w:bidi="en-US"/>
        </w:rPr>
        <w:t>ὴ</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σύνοδο</w:t>
      </w:r>
      <w:r>
        <w:rPr>
          <w:i/>
          <w:iCs/>
          <w:spacing w:val="0"/>
          <w:w w:val="100"/>
          <w:position w:val="0"/>
          <w:shd w:val="clear" w:color="auto" w:fill="auto"/>
          <w:lang w:val="el-GR" w:eastAsia="el-GR" w:bidi="el-GR"/>
        </w:rPr>
        <w:t>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la-001" w:eastAsia="la-001" w:bidi="la-001"/>
        </w:rPr>
        <w:t xml:space="preserve">latrocinium </w:t>
      </w:r>
      <w:r>
        <w:rPr>
          <w:i/>
          <w:iCs/>
          <w:spacing w:val="0"/>
          <w:w w:val="100"/>
          <w:position w:val="0"/>
          <w:shd w:val="clear" w:color="auto" w:fill="auto"/>
          <w:lang w:val="en-US" w:eastAsia="en-US" w:bidi="en-US"/>
        </w:rPr>
        <w:t>Ephesinum.</w:t>
      </w:r>
      <w:r>
        <w:rPr>
          <w:spacing w:val="0"/>
          <w:w w:val="100"/>
          <w:position w:val="0"/>
          <w:shd w:val="clear" w:color="auto" w:fill="auto"/>
          <w:lang w:val="en-US" w:eastAsia="en-US" w:bidi="en-US"/>
        </w:rPr>
        <w:t xml:space="preserve"> Of the first</w:t>
      </w:r>
    </w:p>
    <w:p>
      <w:pPr>
        <w:pStyle w:val="Style6"/>
        <w:keepNext w:val="0"/>
        <w:keepLines w:val="0"/>
        <w:widowControl w:val="0"/>
        <w:shd w:val="clear" w:color="auto" w:fill="auto"/>
        <w:tabs>
          <w:tab w:pos="2772" w:val="left"/>
        </w:tabs>
        <w:bidi w:val="0"/>
        <w:spacing w:line="194" w:lineRule="auto"/>
        <w:ind w:left="0" w:firstLine="0"/>
        <w:jc w:val="left"/>
      </w:pPr>
      <w:r>
        <w:rPr>
          <w:spacing w:val="0"/>
          <w:w w:val="100"/>
          <w:position w:val="0"/>
          <w:shd w:val="clear" w:color="auto" w:fill="auto"/>
          <w:lang w:val="en-US" w:eastAsia="en-US" w:bidi="en-US"/>
        </w:rPr>
        <w:t xml:space="preserve">session of this council a portion is extant in Syriac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12156, ff. 51b-61a (written before 562), containing the acta in the cases of Flavian of Antioch and Eusebius of </w:t>
      </w:r>
      <w:r>
        <w:rPr>
          <w:spacing w:val="0"/>
          <w:w w:val="100"/>
          <w:position w:val="0"/>
          <w:shd w:val="clear" w:color="auto" w:fill="auto"/>
          <w:lang w:val="fr-FR" w:eastAsia="fr-FR" w:bidi="fr-FR"/>
        </w:rPr>
        <w:t xml:space="preserve">Dorylæum. </w:t>
      </w:r>
      <w:r>
        <w:rPr>
          <w:spacing w:val="0"/>
          <w:w w:val="100"/>
          <w:position w:val="0"/>
          <w:shd w:val="clear" w:color="auto" w:fill="auto"/>
          <w:lang w:val="en-US" w:eastAsia="en-US" w:bidi="en-US"/>
        </w:rPr>
        <w:t>Add. 14530 (dated 535) contains the second session, comprising the acta in the cases of Ibas, his nephew Daniel of Ḥ</w:t>
      </w:r>
      <w:r>
        <w:rPr>
          <w:spacing w:val="0"/>
          <w:w w:val="100"/>
          <w:position w:val="0"/>
          <w:shd w:val="clear" w:color="auto" w:fill="auto"/>
          <w:lang w:val="de-DE" w:eastAsia="de-DE" w:bidi="de-DE"/>
        </w:rPr>
        <w:t>arr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n, </w:t>
      </w:r>
      <w:r>
        <w:rPr>
          <w:spacing w:val="0"/>
          <w:w w:val="100"/>
          <w:position w:val="0"/>
          <w:shd w:val="clear" w:color="auto" w:fill="auto"/>
          <w:lang w:val="fr-FR" w:eastAsia="fr-FR" w:bidi="fr-FR"/>
        </w:rPr>
        <w:t xml:space="preserve">Irenæus </w:t>
      </w:r>
      <w:r>
        <w:rPr>
          <w:spacing w:val="0"/>
          <w:w w:val="100"/>
          <w:position w:val="0"/>
          <w:shd w:val="clear" w:color="auto" w:fill="auto"/>
          <w:lang w:val="en-US" w:eastAsia="en-US" w:bidi="en-US"/>
        </w:rPr>
        <w:t xml:space="preserve">of Tyre, </w:t>
      </w:r>
      <w:r>
        <w:rPr>
          <w:spacing w:val="0"/>
          <w:w w:val="100"/>
          <w:position w:val="0"/>
          <w:shd w:val="clear" w:color="auto" w:fill="auto"/>
          <w:lang w:val="la-001" w:eastAsia="la-001" w:bidi="la-001"/>
        </w:rPr>
        <w:t xml:space="preserve">Aquilinus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Byblus, </w:t>
      </w:r>
      <w:r>
        <w:rPr>
          <w:spacing w:val="0"/>
          <w:w w:val="100"/>
          <w:position w:val="0"/>
          <w:shd w:val="clear" w:color="auto" w:fill="auto"/>
          <w:lang w:val="en-US" w:eastAsia="en-US" w:bidi="en-US"/>
        </w:rPr>
        <w:t xml:space="preserve">Sophronius of Telia or </w:t>
      </w:r>
      <w:r>
        <w:rPr>
          <w:spacing w:val="0"/>
          <w:w w:val="100"/>
          <w:position w:val="0"/>
          <w:shd w:val="clear" w:color="auto" w:fill="auto"/>
          <w:lang w:val="la-001" w:eastAsia="la-001" w:bidi="la-001"/>
        </w:rPr>
        <w:t xml:space="preserve">Constantina, </w:t>
      </w:r>
      <w:r>
        <w:rPr>
          <w:spacing w:val="0"/>
          <w:w w:val="100"/>
          <w:position w:val="0"/>
          <w:shd w:val="clear" w:color="auto" w:fill="auto"/>
          <w:lang w:val="en-US" w:eastAsia="en-US" w:bidi="en-US"/>
        </w:rPr>
        <w:t xml:space="preserve">Theodoret of Cyrrhus, and </w:t>
      </w:r>
      <w:r>
        <w:rPr>
          <w:spacing w:val="0"/>
          <w:w w:val="100"/>
          <w:position w:val="0"/>
          <w:shd w:val="clear" w:color="auto" w:fill="auto"/>
          <w:lang w:val="la-001" w:eastAsia="la-001" w:bidi="la-001"/>
        </w:rPr>
        <w:t xml:space="preserve">Domnus </w:t>
      </w:r>
      <w:r>
        <w:rPr>
          <w:spacing w:val="0"/>
          <w:w w:val="100"/>
          <w:position w:val="0"/>
          <w:shd w:val="clear" w:color="auto" w:fill="auto"/>
          <w:lang w:val="en-US" w:eastAsia="en-US" w:bidi="en-US"/>
        </w:rPr>
        <w:t xml:space="preserve">of Antioch. These documents have been translated into German by Hoffmann, </w:t>
      </w:r>
      <w:r>
        <w:rPr>
          <w:i/>
          <w:iCs/>
          <w:spacing w:val="0"/>
          <w:w w:val="100"/>
          <w:position w:val="0"/>
          <w:shd w:val="clear" w:color="auto" w:fill="auto"/>
          <w:lang w:val="de-DE" w:eastAsia="de-DE" w:bidi="de-DE"/>
        </w:rPr>
        <w:t>Verhandlungen der Kirchenversammlung zu Ephesus am</w:t>
      </w:r>
      <w:r>
        <w:rPr>
          <w:spacing w:val="0"/>
          <w:w w:val="100"/>
          <w:position w:val="0"/>
          <w:shd w:val="clear" w:color="auto" w:fill="auto"/>
          <w:lang w:val="de-DE" w:eastAsia="de-DE" w:bidi="de-DE"/>
        </w:rPr>
        <w:t xml:space="preserve"> xxii. </w:t>
      </w:r>
      <w:r>
        <w:rPr>
          <w:i/>
          <w:iCs/>
          <w:spacing w:val="0"/>
          <w:w w:val="100"/>
          <w:position w:val="0"/>
          <w:shd w:val="clear" w:color="auto" w:fill="auto"/>
          <w:lang w:val="de-DE" w:eastAsia="de-DE" w:bidi="de-DE"/>
        </w:rPr>
        <w:t xml:space="preserve">August </w:t>
      </w:r>
      <w:r>
        <w:rPr>
          <w:smallCaps/>
          <w:spacing w:val="0"/>
          <w:w w:val="100"/>
          <w:position w:val="0"/>
          <w:shd w:val="clear" w:color="auto" w:fill="auto"/>
          <w:lang w:val="de-DE" w:eastAsia="de-DE" w:bidi="de-DE"/>
        </w:rPr>
        <w:t>cdxlix.,</w:t>
      </w:r>
      <w:r>
        <w:rPr>
          <w:spacing w:val="0"/>
          <w:w w:val="100"/>
          <w:position w:val="0"/>
          <w:shd w:val="clear" w:color="auto" w:fill="auto"/>
          <w:lang w:val="de-DE" w:eastAsia="de-DE" w:bidi="de-DE"/>
        </w:rPr>
        <w:t xml:space="preserve"> &amp;c., </w:t>
      </w:r>
      <w:r>
        <w:rPr>
          <w:spacing w:val="0"/>
          <w:w w:val="100"/>
          <w:position w:val="0"/>
          <w:shd w:val="clear" w:color="auto" w:fill="auto"/>
          <w:lang w:val="en-US" w:eastAsia="en-US" w:bidi="en-US"/>
        </w:rPr>
        <w:t xml:space="preserve">1873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into French by </w:t>
      </w:r>
      <w:r>
        <w:rPr>
          <w:spacing w:val="0"/>
          <w:w w:val="100"/>
          <w:position w:val="0"/>
          <w:shd w:val="clear" w:color="auto" w:fill="auto"/>
          <w:lang w:val="de-DE" w:eastAsia="de-DE" w:bidi="de-DE"/>
        </w:rPr>
        <w:t xml:space="preserve">Martin, </w:t>
      </w:r>
      <w:r>
        <w:rPr>
          <w:i/>
          <w:iCs/>
          <w:spacing w:val="0"/>
          <w:w w:val="100"/>
          <w:position w:val="0"/>
          <w:shd w:val="clear" w:color="auto" w:fill="auto"/>
          <w:lang w:val="de-DE" w:eastAsia="de-DE" w:bidi="de-DE"/>
        </w:rPr>
        <w:t xml:space="preserve">Actes du </w:t>
      </w:r>
      <w:r>
        <w:rPr>
          <w:i/>
          <w:iCs/>
          <w:spacing w:val="0"/>
          <w:w w:val="100"/>
          <w:position w:val="0"/>
          <w:shd w:val="clear" w:color="auto" w:fill="auto"/>
          <w:lang w:val="en-US" w:eastAsia="en-US" w:bidi="en-US"/>
        </w:rPr>
        <w:t xml:space="preserve">Brigandage </w:t>
      </w:r>
      <w:r>
        <w:rPr>
          <w:i/>
          <w:iCs/>
          <w:spacing w:val="0"/>
          <w:w w:val="100"/>
          <w:position w:val="0"/>
          <w:shd w:val="clear" w:color="auto" w:fill="auto"/>
          <w:lang w:val="fr-FR" w:eastAsia="fr-FR" w:bidi="fr-FR"/>
        </w:rPr>
        <w:t>d'Éphèse,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1874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into English (with the assistance of a German scholar) by the Rev. </w:t>
      </w:r>
      <w:r>
        <w:rPr>
          <w:spacing w:val="0"/>
          <w:w w:val="100"/>
          <w:position w:val="0"/>
          <w:shd w:val="clear" w:color="auto" w:fill="auto"/>
          <w:lang w:val="fr-FR" w:eastAsia="fr-FR" w:bidi="fr-FR"/>
        </w:rPr>
        <w:t xml:space="preserve">S. G. </w:t>
      </w:r>
      <w:r>
        <w:rPr>
          <w:spacing w:val="0"/>
          <w:w w:val="100"/>
          <w:position w:val="0"/>
          <w:shd w:val="clear" w:color="auto" w:fill="auto"/>
          <w:lang w:val="en-US" w:eastAsia="en-US" w:bidi="en-US"/>
        </w:rPr>
        <w:t xml:space="preserve">F. Perry, </w:t>
      </w:r>
      <w:r>
        <w:rPr>
          <w:i/>
          <w:iCs/>
          <w:spacing w:val="0"/>
          <w:w w:val="100"/>
          <w:position w:val="0"/>
          <w:shd w:val="clear" w:color="auto" w:fill="auto"/>
          <w:lang w:val="en-US" w:eastAsia="en-US" w:bidi="en-US"/>
        </w:rPr>
        <w:t>The Second Synod of Ephesus,</w:t>
      </w:r>
      <w:r>
        <w:rPr>
          <w:spacing w:val="0"/>
          <w:w w:val="100"/>
          <w:position w:val="0"/>
          <w:shd w:val="clear" w:color="auto" w:fill="auto"/>
          <w:lang w:val="en-US" w:eastAsia="en-US" w:bidi="en-US"/>
        </w:rPr>
        <w:t xml:space="preserve"> 1881. See also Martin, </w:t>
      </w:r>
      <w:r>
        <w:rPr>
          <w:i/>
          <w:iCs/>
          <w:spacing w:val="0"/>
          <w:w w:val="100"/>
          <w:position w:val="0"/>
          <w:shd w:val="clear" w:color="auto" w:fill="auto"/>
          <w:lang w:val="fr-FR" w:eastAsia="fr-FR" w:bidi="fr-FR"/>
        </w:rPr>
        <w:t>Le</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 xml:space="preserve">Pseudo-Synode connu dans l’Histoire sous le nom de Brigandage d'Éphèse, </w:t>
      </w:r>
      <w:r>
        <w:rPr>
          <w:spacing w:val="0"/>
          <w:w w:val="100"/>
          <w:position w:val="0"/>
          <w:shd w:val="clear" w:color="auto" w:fill="auto"/>
          <w:lang w:val="fr-FR" w:eastAsia="fr-FR" w:bidi="fr-FR"/>
        </w:rPr>
        <w:t xml:space="preserve">&amp;c.j </w:t>
      </w:r>
      <w:r>
        <w:rPr>
          <w:spacing w:val="0"/>
          <w:w w:val="100"/>
          <w:position w:val="0"/>
          <w:shd w:val="clear" w:color="auto" w:fill="auto"/>
          <w:lang w:val="en-US" w:eastAsia="en-US" w:bidi="en-US"/>
        </w:rPr>
        <w:t xml:space="preserve">1875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Perry, </w:t>
      </w:r>
      <w:r>
        <w:rPr>
          <w:i/>
          <w:iCs/>
          <w:spacing w:val="0"/>
          <w:w w:val="100"/>
          <w:position w:val="0"/>
          <w:shd w:val="clear" w:color="auto" w:fill="auto"/>
          <w:lang w:val="fr-FR" w:eastAsia="fr-FR" w:bidi="fr-FR"/>
        </w:rPr>
        <w:t xml:space="preserve">An </w:t>
      </w:r>
      <w:r>
        <w:rPr>
          <w:i/>
          <w:iCs/>
          <w:spacing w:val="0"/>
          <w:w w:val="100"/>
          <w:position w:val="0"/>
          <w:shd w:val="clear" w:color="auto" w:fill="auto"/>
          <w:lang w:val="en-US" w:eastAsia="en-US" w:bidi="en-US"/>
        </w:rPr>
        <w:t xml:space="preserve">Ancient Syriac </w:t>
      </w:r>
      <w:r>
        <w:rPr>
          <w:i/>
          <w:iCs/>
          <w:spacing w:val="0"/>
          <w:w w:val="100"/>
          <w:position w:val="0"/>
          <w:shd w:val="clear" w:color="auto" w:fill="auto"/>
          <w:lang w:val="fr-FR" w:eastAsia="fr-FR" w:bidi="fr-FR"/>
        </w:rPr>
        <w:t xml:space="preserve">Document </w:t>
      </w:r>
      <w:r>
        <w:rPr>
          <w:i/>
          <w:iCs/>
          <w:spacing w:val="0"/>
          <w:w w:val="100"/>
          <w:position w:val="0"/>
          <w:shd w:val="clear" w:color="auto" w:fill="auto"/>
          <w:lang w:val="en-US" w:eastAsia="en-US" w:bidi="en-US"/>
        </w:rPr>
        <w:t>purporting to be the record in its chief features of the Second Synod of Ephesus,</w:t>
      </w:r>
      <w:r>
        <w:rPr>
          <w:spacing w:val="0"/>
          <w:w w:val="100"/>
          <w:position w:val="0"/>
          <w:shd w:val="clear" w:color="auto" w:fill="auto"/>
          <w:lang w:val="en-US" w:eastAsia="en-US" w:bidi="en-US"/>
        </w:rPr>
        <w:t xml:space="preserve"> &amp;c., part i., 1867. Mr Perry printed a complete edition of the Syriac text at the Clarendon Press, Oxford, but no one seems to know what has become of the copies. The copies of the English translation were purchased at the sale of Mr Perry’s library by Mr Quaritch.</w:t>
        <w:tab/>
      </w:r>
    </w:p>
    <w:p>
      <w:pPr>
        <w:pStyle w:val="Style6"/>
        <w:keepNext w:val="0"/>
        <w:keepLines w:val="0"/>
        <w:widowControl w:val="0"/>
        <w:shd w:val="clear" w:color="auto" w:fill="auto"/>
        <w:tabs>
          <w:tab w:pos="2772" w:val="left"/>
        </w:tabs>
        <w:bidi w:val="0"/>
        <w:spacing w:line="194" w:lineRule="auto"/>
        <w:ind w:left="0" w:firstLine="0"/>
        <w:jc w:val="left"/>
      </w:pPr>
      <w:r>
        <w:rPr>
          <w:spacing w:val="0"/>
          <w:w w:val="100"/>
          <w:position w:val="0"/>
          <w:shd w:val="clear" w:color="auto" w:fill="auto"/>
          <w:lang w:val="en-US" w:eastAsia="en-US" w:bidi="en-US"/>
        </w:rPr>
        <w:t xml:space="preserve">@@@27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257.</w:t>
      </w:r>
    </w:p>
    <w:p>
      <w:pPr>
        <w:pStyle w:val="Style6"/>
        <w:keepNext w:val="0"/>
        <w:keepLines w:val="0"/>
        <w:widowControl w:val="0"/>
        <w:shd w:val="clear" w:color="auto" w:fill="auto"/>
        <w:tabs>
          <w:tab w:pos="338"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28</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86. These are of course utterly ignored by Assemani in vol. i.</w:t>
      </w:r>
    </w:p>
    <w:p>
      <w:pPr>
        <w:pStyle w:val="Style6"/>
        <w:keepNext w:val="0"/>
        <w:keepLines w:val="0"/>
        <w:widowControl w:val="0"/>
        <w:shd w:val="clear" w:color="auto" w:fill="auto"/>
        <w:tabs>
          <w:tab w:pos="338" w:val="left"/>
          <w:tab w:pos="2254" w:val="left"/>
          <w:tab w:pos="2660"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29</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51.</w:t>
        <w:tab/>
      </w:r>
    </w:p>
    <w:p>
      <w:pPr>
        <w:pStyle w:val="Style6"/>
        <w:keepNext w:val="0"/>
        <w:keepLines w:val="0"/>
        <w:widowControl w:val="0"/>
        <w:shd w:val="clear" w:color="auto" w:fill="auto"/>
        <w:tabs>
          <w:tab w:pos="338" w:val="left"/>
          <w:tab w:pos="2254" w:val="left"/>
          <w:tab w:pos="2660"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30</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 195-196.</w:t>
      </w:r>
    </w:p>
    <w:p>
      <w:pPr>
        <w:pStyle w:val="Style6"/>
        <w:keepNext w:val="0"/>
        <w:keepLines w:val="0"/>
        <w:widowControl w:val="0"/>
        <w:shd w:val="clear" w:color="auto" w:fill="auto"/>
        <w:tabs>
          <w:tab w:pos="2311" w:val="left"/>
        </w:tabs>
        <w:bidi w:val="0"/>
        <w:spacing w:line="194" w:lineRule="auto"/>
        <w:ind w:left="0" w:firstLine="360"/>
        <w:jc w:val="left"/>
      </w:pPr>
      <w:r>
        <w:rPr>
          <w:spacing w:val="0"/>
          <w:w w:val="100"/>
          <w:position w:val="0"/>
          <w:shd w:val="clear" w:color="auto" w:fill="auto"/>
          <w:lang w:val="en-US" w:eastAsia="en-US" w:bidi="en-US"/>
        </w:rPr>
        <w:t xml:space="preserve">@@@3i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Hardash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or Beth Hartasher, in Persian Weh-Ardash</w:t>
      </w:r>
      <w:r>
        <w:rPr>
          <w:color w:val="000000"/>
          <w:spacing w:val="0"/>
          <w:w w:val="100"/>
          <w:position w:val="0"/>
          <w:shd w:val="clear" w:color="auto" w:fill="auto"/>
          <w:lang w:val="en-US" w:eastAsia="en-US" w:bidi="en-US"/>
        </w:rPr>
        <w:t>ē</w:t>
      </w:r>
      <w:r>
        <w:rPr>
          <w:spacing w:val="0"/>
          <w:w w:val="100"/>
          <w:position w:val="0"/>
          <w:shd w:val="clear" w:color="auto" w:fill="auto"/>
          <w:lang w:val="en-US" w:eastAsia="en-US" w:bidi="en-US"/>
        </w:rPr>
        <w:t xml:space="preserve">r or Beh-Ard- </w:t>
      </w:r>
      <w:r>
        <w:rPr>
          <w:spacing w:val="0"/>
          <w:w w:val="100"/>
          <w:position w:val="0"/>
          <w:shd w:val="clear" w:color="auto" w:fill="auto"/>
          <w:lang w:val="fr-FR" w:eastAsia="fr-FR" w:bidi="fr-FR"/>
        </w:rPr>
        <w:t>ash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Arabicized Bahurasīr, close by Seleucia, on the right bank of the Tigris. See Hoffmann, </w:t>
      </w:r>
      <w:r>
        <w:rPr>
          <w:i/>
          <w:iCs/>
          <w:spacing w:val="0"/>
          <w:w w:val="100"/>
          <w:position w:val="0"/>
          <w:shd w:val="clear" w:color="auto" w:fill="auto"/>
          <w:lang w:val="de-DE" w:eastAsia="de-DE" w:bidi="de-DE"/>
        </w:rPr>
        <w:t>Verhandlungen der Kirchenversammlung zu Ephesus,</w:t>
      </w:r>
      <w:r>
        <w:rPr>
          <w:spacing w:val="0"/>
          <w:w w:val="100"/>
          <w:position w:val="0"/>
          <w:shd w:val="clear" w:color="auto" w:fill="auto"/>
          <w:lang w:val="de-DE" w:eastAsia="de-DE" w:bidi="de-DE"/>
        </w:rPr>
        <w:t xml:space="preserve"> &amp;c., p. </w:t>
      </w:r>
      <w:r>
        <w:rPr>
          <w:spacing w:val="0"/>
          <w:w w:val="100"/>
          <w:position w:val="0"/>
          <w:shd w:val="clear" w:color="auto" w:fill="auto"/>
          <w:lang w:val="en-US" w:eastAsia="en-US" w:bidi="en-US"/>
        </w:rPr>
        <w:t>93, note 160.</w:t>
        <w:tab/>
      </w:r>
    </w:p>
    <w:p>
      <w:pPr>
        <w:pStyle w:val="Style6"/>
        <w:keepNext w:val="0"/>
        <w:keepLines w:val="0"/>
        <w:widowControl w:val="0"/>
        <w:shd w:val="clear" w:color="auto" w:fill="auto"/>
        <w:tabs>
          <w:tab w:pos="2491"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32</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B.O.,</w:t>
      </w:r>
      <w:r>
        <w:rPr>
          <w:spacing w:val="0"/>
          <w:w w:val="100"/>
          <w:position w:val="0"/>
          <w:shd w:val="clear" w:color="auto" w:fill="auto"/>
          <w:lang w:val="de-DE" w:eastAsia="de-DE" w:bidi="de-DE"/>
        </w:rPr>
        <w:t xml:space="preserve"> iii. </w:t>
      </w:r>
      <w:r>
        <w:rPr>
          <w:spacing w:val="0"/>
          <w:w w:val="100"/>
          <w:position w:val="0"/>
          <w:shd w:val="clear" w:color="auto" w:fill="auto"/>
          <w:lang w:val="en-US" w:eastAsia="en-US" w:bidi="en-US"/>
        </w:rPr>
        <w:t>1, 172.</w:t>
      </w:r>
    </w:p>
    <w:p>
      <w:pPr>
        <w:pStyle w:val="Style6"/>
        <w:keepNext w:val="0"/>
        <w:keepLines w:val="0"/>
        <w:widowControl w:val="0"/>
        <w:shd w:val="clear" w:color="auto" w:fill="auto"/>
        <w:tabs>
          <w:tab w:pos="281" w:val="left"/>
        </w:tabs>
        <w:bidi w:val="0"/>
        <w:spacing w:line="194" w:lineRule="auto"/>
        <w:ind w:left="0" w:firstLine="360"/>
        <w:jc w:val="left"/>
      </w:pPr>
      <w:r>
        <w:rPr>
          <w:spacing w:val="0"/>
          <w:w w:val="100"/>
          <w:position w:val="0"/>
          <w:shd w:val="clear" w:color="auto" w:fill="auto"/>
          <w:lang w:val="en-US" w:eastAsia="en-US" w:bidi="en-US"/>
        </w:rPr>
        <w:t>@@@33</w:t>
        <w:tab/>
      </w:r>
      <w:r>
        <w:rPr>
          <w:i/>
          <w:iCs/>
          <w:spacing w:val="0"/>
          <w:w w:val="100"/>
          <w:position w:val="0"/>
          <w:shd w:val="clear" w:color="auto" w:fill="auto"/>
          <w:lang w:val="fr-FR" w:eastAsia="fr-FR" w:bidi="fr-FR"/>
        </w:rPr>
        <w:t>Ibid.,</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i. </w:t>
      </w:r>
      <w:r>
        <w:rPr>
          <w:spacing w:val="0"/>
          <w:w w:val="100"/>
          <w:position w:val="0"/>
          <w:shd w:val="clear" w:color="auto" w:fill="auto"/>
          <w:lang w:val="en-US" w:eastAsia="en-US" w:bidi="en-US"/>
        </w:rPr>
        <w:t xml:space="preserve">207-234; Bickell,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Thalhofer’s </w:t>
      </w:r>
      <w:r>
        <w:rPr>
          <w:i/>
          <w:iCs/>
          <w:spacing w:val="0"/>
          <w:w w:val="100"/>
          <w:position w:val="0"/>
          <w:shd w:val="clear" w:color="auto" w:fill="auto"/>
          <w:lang w:val="de-DE" w:eastAsia="de-DE" w:bidi="de-DE"/>
        </w:rPr>
        <w:t>Bibliothek,</w:t>
      </w:r>
      <w:r>
        <w:rPr>
          <w:spacing w:val="0"/>
          <w:w w:val="100"/>
          <w:position w:val="0"/>
          <w:shd w:val="clear" w:color="auto" w:fill="auto"/>
          <w:lang w:val="de-DE" w:eastAsia="de-DE" w:bidi="de-DE"/>
        </w:rPr>
        <w:t xml:space="preserve"> No. </w:t>
      </w:r>
      <w:r>
        <w:rPr>
          <w:spacing w:val="0"/>
          <w:w w:val="100"/>
          <w:position w:val="0"/>
          <w:shd w:val="clear" w:color="auto" w:fill="auto"/>
          <w:lang w:val="en-US" w:eastAsia="en-US" w:bidi="en-US"/>
        </w:rPr>
        <w:t xml:space="preserve">44, and </w:t>
      </w:r>
      <w:r>
        <w:rPr>
          <w:i/>
          <w:iCs/>
          <w:spacing w:val="0"/>
          <w:w w:val="100"/>
          <w:position w:val="0"/>
          <w:shd w:val="clear" w:color="auto" w:fill="auto"/>
          <w:lang w:val="en-US" w:eastAsia="en-US" w:bidi="en-US"/>
        </w:rPr>
        <w:t xml:space="preserve">Conspectus, </w:t>
      </w:r>
      <w:r>
        <w:rPr>
          <w:spacing w:val="0"/>
          <w:w w:val="100"/>
          <w:position w:val="0"/>
          <w:shd w:val="clear" w:color="auto" w:fill="auto"/>
          <w:lang w:val="de-DE" w:eastAsia="de-DE" w:bidi="de-DE"/>
        </w:rPr>
        <w:t xml:space="preserve">p. </w:t>
      </w:r>
      <w:r>
        <w:rPr>
          <w:spacing w:val="0"/>
          <w:w w:val="100"/>
          <w:position w:val="0"/>
          <w:shd w:val="clear" w:color="auto" w:fill="auto"/>
          <w:lang w:val="en-US" w:eastAsia="en-US" w:bidi="en-US"/>
        </w:rPr>
        <w:t>22.</w:t>
      </w:r>
    </w:p>
    <w:p>
      <w:pPr>
        <w:pStyle w:val="Style6"/>
        <w:keepNext w:val="0"/>
        <w:keepLines w:val="0"/>
        <w:widowControl w:val="0"/>
        <w:shd w:val="clear" w:color="auto" w:fill="auto"/>
        <w:tabs>
          <w:tab w:pos="338" w:val="left"/>
        </w:tabs>
        <w:bidi w:val="0"/>
        <w:spacing w:line="194" w:lineRule="auto"/>
        <w:ind w:left="0" w:firstLine="360"/>
        <w:jc w:val="left"/>
      </w:pPr>
      <w:r>
        <w:rPr>
          <w:spacing w:val="0"/>
          <w:w w:val="100"/>
          <w:position w:val="0"/>
          <w:shd w:val="clear" w:color="auto" w:fill="auto"/>
          <w:lang w:val="en-US" w:eastAsia="en-US" w:bidi="en-US"/>
        </w:rPr>
        <w:t>@@@34</w:t>
        <w:tab/>
        <w:t>That he is identical with Isaac, the disciple of Ephraim (as some have sup</w:t>
        <w:softHyphen/>
      </w:r>
    </w:p>
    <w:p>
      <w:pPr>
        <w:pStyle w:val="Style6"/>
        <w:keepNext w:val="0"/>
        <w:keepLines w:val="0"/>
        <w:widowControl w:val="0"/>
        <w:shd w:val="clear" w:color="auto" w:fill="auto"/>
        <w:tabs>
          <w:tab w:pos="2455" w:val="left"/>
        </w:tabs>
        <w:bidi w:val="0"/>
        <w:spacing w:line="194" w:lineRule="auto"/>
        <w:ind w:left="0" w:firstLine="0"/>
        <w:jc w:val="left"/>
      </w:pPr>
      <w:r>
        <w:rPr>
          <w:spacing w:val="0"/>
          <w:w w:val="100"/>
          <w:position w:val="0"/>
          <w:shd w:val="clear" w:color="auto" w:fill="auto"/>
          <w:lang w:val="en-US" w:eastAsia="en-US" w:bidi="en-US"/>
        </w:rPr>
        <w:t xml:space="preserve">posed), seems wholly unlikely. He may possibly have seen Ephraim in the flesh, but this is very doubtful, considering the date of his own death. Even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appears to have got into some confusion on this subject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603, col. 2).</w:t>
        <w:tab/>
      </w:r>
    </w:p>
    <w:p>
      <w:pPr>
        <w:pStyle w:val="Style6"/>
        <w:keepNext w:val="0"/>
        <w:keepLines w:val="0"/>
        <w:widowControl w:val="0"/>
        <w:shd w:val="clear" w:color="auto" w:fill="auto"/>
        <w:tabs>
          <w:tab w:pos="2455" w:val="left"/>
        </w:tabs>
        <w:bidi w:val="0"/>
        <w:spacing w:line="194" w:lineRule="auto"/>
        <w:ind w:left="0" w:firstLine="0"/>
        <w:jc w:val="left"/>
      </w:pPr>
      <w:r>
        <w:rPr>
          <w:spacing w:val="0"/>
          <w:w w:val="100"/>
          <w:position w:val="0"/>
          <w:shd w:val="clear" w:color="auto" w:fill="auto"/>
          <w:lang w:val="en-US" w:eastAsia="en-US" w:bidi="en-US"/>
        </w:rPr>
        <w:t xml:space="preserve">@@@35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iii. 84.</w:t>
      </w:r>
    </w:p>
    <w:p>
      <w:pPr>
        <w:pStyle w:val="Style6"/>
        <w:keepNext w:val="0"/>
        <w:keepLines w:val="0"/>
        <w:widowControl w:val="0"/>
        <w:shd w:val="clear" w:color="auto" w:fill="auto"/>
        <w:tabs>
          <w:tab w:pos="2236"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36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208-209 ; see </w:t>
      </w:r>
      <w:r>
        <w:rPr>
          <w:i/>
          <w:iCs/>
          <w:spacing w:val="0"/>
          <w:w w:val="100"/>
          <w:position w:val="0"/>
          <w:shd w:val="clear" w:color="auto" w:fill="auto"/>
          <w:lang w:val="la-001" w:eastAsia="la-001" w:bidi="la-001"/>
        </w:rPr>
        <w:t xml:space="preserve">Dionysii </w:t>
      </w:r>
      <w:r>
        <w:rPr>
          <w:i/>
          <w:iCs/>
          <w:spacing w:val="0"/>
          <w:w w:val="100"/>
          <w:position w:val="0"/>
          <w:shd w:val="clear" w:color="auto" w:fill="auto"/>
          <w:lang w:val="en-US" w:eastAsia="en-US" w:bidi="en-US"/>
        </w:rPr>
        <w:t xml:space="preserve">Telmahharensis </w:t>
      </w:r>
      <w:r>
        <w:rPr>
          <w:i/>
          <w:iCs/>
          <w:spacing w:val="0"/>
          <w:w w:val="100"/>
          <w:position w:val="0"/>
          <w:shd w:val="clear" w:color="auto" w:fill="auto"/>
          <w:lang w:val="la-001" w:eastAsia="la-001" w:bidi="la-001"/>
        </w:rPr>
        <w:t xml:space="preserve">Chronici </w:t>
      </w:r>
      <w:r>
        <w:rPr>
          <w:i/>
          <w:iCs/>
          <w:spacing w:val="0"/>
          <w:w w:val="100"/>
          <w:position w:val="0"/>
          <w:shd w:val="clear" w:color="auto" w:fill="auto"/>
          <w:lang w:val="en-US" w:eastAsia="en-US" w:bidi="en-US"/>
        </w:rPr>
        <w:t>liber I.,</w:t>
      </w:r>
      <w:r>
        <w:rPr>
          <w:spacing w:val="0"/>
          <w:w w:val="100"/>
          <w:position w:val="0"/>
          <w:shd w:val="clear" w:color="auto" w:fill="auto"/>
          <w:lang w:val="en-US" w:eastAsia="en-US" w:bidi="en-US"/>
        </w:rPr>
        <w:t xml:space="preserve"> ed. Tullberg, 1850,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52, and </w:t>
      </w:r>
      <w:r>
        <w:rPr>
          <w:i/>
          <w:iCs/>
          <w:spacing w:val="0"/>
          <w:w w:val="100"/>
          <w:position w:val="0"/>
          <w:shd w:val="clear" w:color="auto" w:fill="auto"/>
          <w:lang w:val="en-US" w:eastAsia="en-US" w:bidi="en-US"/>
        </w:rPr>
        <w:t xml:space="preserve">Eusebii </w:t>
      </w:r>
      <w:r>
        <w:rPr>
          <w:i/>
          <w:iCs/>
          <w:spacing w:val="0"/>
          <w:w w:val="100"/>
          <w:position w:val="0"/>
          <w:shd w:val="clear" w:color="auto" w:fill="auto"/>
          <w:lang w:val="la-001" w:eastAsia="la-001" w:bidi="la-001"/>
        </w:rPr>
        <w:t xml:space="preserve">Canonum </w:t>
      </w:r>
      <w:r>
        <w:rPr>
          <w:i/>
          <w:iCs/>
          <w:spacing w:val="0"/>
          <w:w w:val="100"/>
          <w:position w:val="0"/>
          <w:shd w:val="clear" w:color="auto" w:fill="auto"/>
          <w:lang w:val="en-US" w:eastAsia="en-US" w:bidi="en-US"/>
        </w:rPr>
        <w:t xml:space="preserve">Epitome ex </w:t>
      </w:r>
      <w:r>
        <w:rPr>
          <w:i/>
          <w:iCs/>
          <w:spacing w:val="0"/>
          <w:w w:val="100"/>
          <w:position w:val="0"/>
          <w:shd w:val="clear" w:color="auto" w:fill="auto"/>
          <w:lang w:val="la-001" w:eastAsia="la-001" w:bidi="la-001"/>
        </w:rPr>
        <w:t xml:space="preserve">Dionysii </w:t>
      </w:r>
      <w:r>
        <w:rPr>
          <w:i/>
          <w:iCs/>
          <w:spacing w:val="0"/>
          <w:w w:val="100"/>
          <w:position w:val="0"/>
          <w:shd w:val="clear" w:color="auto" w:fill="auto"/>
          <w:lang w:val="en-US" w:eastAsia="en-US" w:bidi="en-US"/>
        </w:rPr>
        <w:t xml:space="preserve">Telm. </w:t>
      </w:r>
      <w:r>
        <w:rPr>
          <w:i/>
          <w:iCs/>
          <w:spacing w:val="0"/>
          <w:w w:val="100"/>
          <w:position w:val="0"/>
          <w:shd w:val="clear" w:color="auto" w:fill="auto"/>
          <w:lang w:val="la-001" w:eastAsia="la-001" w:bidi="la-001"/>
        </w:rPr>
        <w:t>Chronico petita,</w:t>
      </w:r>
      <w:r>
        <w:rPr>
          <w:rFonts w:ascii="Arial" w:eastAsia="Arial" w:hAnsi="Arial" w:cs="Arial"/>
          <w:spacing w:val="0"/>
          <w:w w:val="100"/>
          <w:position w:val="0"/>
          <w:sz w:val="8"/>
          <w:szCs w:val="8"/>
          <w:shd w:val="clear" w:color="auto" w:fill="auto"/>
          <w:lang w:val="la-001" w:eastAsia="la-001" w:bidi="la-001"/>
        </w:rPr>
        <w:t xml:space="preserve"> </w:t>
      </w:r>
      <w:r>
        <w:rPr>
          <w:rFonts w:ascii="Arial" w:eastAsia="Arial" w:hAnsi="Arial" w:cs="Arial"/>
          <w:spacing w:val="0"/>
          <w:w w:val="100"/>
          <w:position w:val="0"/>
          <w:sz w:val="8"/>
          <w:szCs w:val="8"/>
          <w:shd w:val="clear" w:color="auto" w:fill="auto"/>
          <w:lang w:val="en-US" w:eastAsia="en-US" w:bidi="en-US"/>
        </w:rPr>
        <w:t xml:space="preserve">by </w:t>
      </w:r>
      <w:r>
        <w:rPr>
          <w:spacing w:val="0"/>
          <w:w w:val="100"/>
          <w:position w:val="0"/>
          <w:shd w:val="clear" w:color="auto" w:fill="auto"/>
          <w:lang w:val="en-US" w:eastAsia="en-US" w:bidi="en-US"/>
        </w:rPr>
        <w:t xml:space="preserve">C. Siegfried and H. Gelzer, 1884, p. 29. The difficulty was first cleared up by Scaliger, who in his </w:t>
      </w:r>
      <w:r>
        <w:rPr>
          <w:i/>
          <w:iCs/>
          <w:spacing w:val="0"/>
          <w:w w:val="100"/>
          <w:position w:val="0"/>
          <w:shd w:val="clear" w:color="auto" w:fill="auto"/>
          <w:lang w:val="en-US" w:eastAsia="en-US" w:bidi="en-US"/>
        </w:rPr>
        <w:t xml:space="preserve">Thesaurus </w:t>
      </w:r>
      <w:r>
        <w:rPr>
          <w:i/>
          <w:iCs/>
          <w:spacing w:val="0"/>
          <w:w w:val="100"/>
          <w:position w:val="0"/>
          <w:shd w:val="clear" w:color="auto" w:fill="auto"/>
          <w:lang w:val="la-001" w:eastAsia="la-001" w:bidi="la-001"/>
        </w:rPr>
        <w:t xml:space="preserve">Temporum, </w:t>
      </w:r>
      <w:r>
        <w:rPr>
          <w:i/>
          <w:iCs/>
          <w:spacing w:val="0"/>
          <w:w w:val="100"/>
          <w:position w:val="0"/>
          <w:shd w:val="clear" w:color="auto" w:fill="auto"/>
          <w:lang w:val="en-US" w:eastAsia="en-US" w:bidi="en-US"/>
        </w:rPr>
        <w:t>Animadv.</w:t>
      </w:r>
      <w:r>
        <w:rPr>
          <w:spacing w:val="0"/>
          <w:w w:val="100"/>
          <w:position w:val="0"/>
          <w:shd w:val="clear" w:color="auto" w:fill="auto"/>
          <w:lang w:val="en-US" w:eastAsia="en-US" w:bidi="en-US"/>
        </w:rPr>
        <w:t xml:space="preserve"> No. </w:t>
      </w:r>
      <w:r>
        <w:rPr>
          <w:smallCaps/>
          <w:spacing w:val="0"/>
          <w:w w:val="100"/>
          <w:position w:val="0"/>
          <w:shd w:val="clear" w:color="auto" w:fill="auto"/>
          <w:lang w:val="en-US" w:eastAsia="en-US" w:bidi="en-US"/>
        </w:rPr>
        <w:t>mdlxiv.,</w:t>
      </w:r>
      <w:r>
        <w:rPr>
          <w:spacing w:val="0"/>
          <w:w w:val="100"/>
          <w:position w:val="0"/>
          <w:shd w:val="clear" w:color="auto" w:fill="auto"/>
          <w:lang w:val="en-US" w:eastAsia="en-US" w:bidi="en-US"/>
        </w:rPr>
        <w:t xml:space="preserve"> proposed </w:t>
      </w:r>
      <w:r>
        <w:rPr>
          <w:i/>
          <w:iCs/>
          <w:spacing w:val="0"/>
          <w:w w:val="100"/>
          <w:position w:val="0"/>
          <w:shd w:val="clear" w:color="auto" w:fill="auto"/>
          <w:lang w:val="en-US" w:eastAsia="en-US" w:bidi="en-US"/>
        </w:rPr>
        <w:t>σηκ</w:t>
      </w:r>
      <w:r>
        <w:rPr>
          <w:i/>
          <w:iCs/>
          <w:spacing w:val="0"/>
          <w:w w:val="100"/>
          <w:position w:val="0"/>
          <w:shd w:val="clear" w:color="auto" w:fill="auto"/>
          <w:lang w:val="en-US" w:eastAsia="en-US" w:bidi="en-US"/>
        </w:rPr>
        <w:t>λ</w:t>
      </w:r>
      <w:r>
        <w:rPr>
          <w:i/>
          <w:iCs/>
          <w:spacing w:val="0"/>
          <w:w w:val="100"/>
          <w:position w:val="0"/>
          <w:shd w:val="clear" w:color="auto" w:fill="auto"/>
          <w:lang w:val="en-US" w:eastAsia="en-US" w:bidi="en-US"/>
        </w:rPr>
        <w:t>a</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 xml:space="preserve">ιωv. </w:t>
      </w:r>
    </w:p>
    <w:p>
      <w:pPr>
        <w:pStyle w:val="Style6"/>
        <w:keepNext w:val="0"/>
        <w:keepLines w:val="0"/>
        <w:widowControl w:val="0"/>
        <w:shd w:val="clear" w:color="auto" w:fill="auto"/>
        <w:tabs>
          <w:tab w:pos="2416"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37</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 211.</w:t>
        <w:tab/>
      </w:r>
    </w:p>
    <w:p>
      <w:pPr>
        <w:pStyle w:val="Style6"/>
        <w:keepNext w:val="0"/>
        <w:keepLines w:val="0"/>
        <w:widowControl w:val="0"/>
        <w:shd w:val="clear" w:color="auto" w:fill="auto"/>
        <w:tabs>
          <w:tab w:pos="2416" w:val="left"/>
        </w:tabs>
        <w:bidi w:val="0"/>
        <w:spacing w:line="194" w:lineRule="auto"/>
        <w:ind w:left="0" w:firstLine="360"/>
        <w:jc w:val="left"/>
      </w:pPr>
      <w:r>
        <w:rPr>
          <w:spacing w:val="0"/>
          <w:w w:val="100"/>
          <w:position w:val="0"/>
          <w:shd w:val="clear" w:color="auto" w:fill="auto"/>
          <w:lang w:val="en-US" w:eastAsia="en-US" w:bidi="en-US"/>
        </w:rPr>
        <w:t xml:space="preserve">@@@38 See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23, note.</w:t>
      </w:r>
    </w:p>
    <w:p>
      <w:pPr>
        <w:pStyle w:val="Style6"/>
        <w:keepNext w:val="0"/>
        <w:keepLines w:val="0"/>
        <w:widowControl w:val="0"/>
        <w:shd w:val="clear" w:color="auto" w:fill="auto"/>
        <w:tabs>
          <w:tab w:pos="338"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39</w:t>
        <w:tab/>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 214-215, ii. 355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447.</w:t>
      </w:r>
    </w:p>
    <w:p>
      <w:pPr>
        <w:pStyle w:val="Style6"/>
        <w:keepNext w:val="0"/>
        <w:keepLines w:val="0"/>
        <w:widowControl w:val="0"/>
        <w:shd w:val="clear" w:color="auto" w:fill="auto"/>
        <w:tabs>
          <w:tab w:pos="342" w:val="left"/>
          <w:tab w:pos="1566" w:val="left"/>
        </w:tabs>
        <w:bidi w:val="0"/>
        <w:spacing w:line="194" w:lineRule="auto"/>
        <w:ind w:left="0" w:firstLine="360"/>
        <w:jc w:val="left"/>
      </w:pPr>
      <w:r>
        <w:rPr>
          <w:spacing w:val="0"/>
          <w:w w:val="100"/>
          <w:position w:val="0"/>
          <w:shd w:val="clear" w:color="auto" w:fill="auto"/>
          <w:lang w:val="en-US" w:eastAsia="en-US" w:bidi="en-US"/>
        </w:rPr>
        <w:t>@@@40</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214-234.</w:t>
        <w:tab/>
      </w:r>
    </w:p>
    <w:p>
      <w:pPr>
        <w:pStyle w:val="Style6"/>
        <w:keepNext w:val="0"/>
        <w:keepLines w:val="0"/>
        <w:widowControl w:val="0"/>
        <w:shd w:val="clear" w:color="auto" w:fill="auto"/>
        <w:tabs>
          <w:tab w:pos="342" w:val="left"/>
          <w:tab w:pos="1566" w:val="left"/>
        </w:tabs>
        <w:bidi w:val="0"/>
        <w:spacing w:line="194" w:lineRule="auto"/>
        <w:ind w:left="0" w:firstLine="360"/>
        <w:jc w:val="left"/>
      </w:pPr>
      <w:r>
        <w:rPr>
          <w:spacing w:val="0"/>
          <w:w w:val="100"/>
          <w:position w:val="0"/>
          <w:shd w:val="clear" w:color="auto" w:fill="auto"/>
          <w:lang w:val="en-US" w:eastAsia="en-US" w:bidi="en-US"/>
        </w:rPr>
        <w:t xml:space="preserve">@@@41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Ephraemi Syri, </w:t>
      </w:r>
      <w:r>
        <w:rPr>
          <w:spacing w:val="0"/>
          <w:w w:val="100"/>
          <w:position w:val="0"/>
          <w:shd w:val="clear" w:color="auto" w:fill="auto"/>
          <w:lang w:val="en-US" w:eastAsia="en-US" w:bidi="en-US"/>
        </w:rPr>
        <w:t>&amp;c</w:t>
      </w:r>
      <w:r>
        <w:rPr>
          <w:i/>
          <w:iCs/>
          <w:spacing w:val="0"/>
          <w:w w:val="100"/>
          <w:position w:val="0"/>
          <w:shd w:val="clear" w:color="auto" w:fill="auto"/>
          <w:lang w:val="en-US" w:eastAsia="en-US" w:bidi="en-US"/>
        </w:rPr>
        <w:t xml:space="preserve">., 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379-381.</w:t>
      </w:r>
    </w:p>
    <w:p>
      <w:pPr>
        <w:pStyle w:val="Style6"/>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@@@42 </w:t>
      </w:r>
      <w:r>
        <w:rPr>
          <w:i/>
          <w:iCs/>
          <w:spacing w:val="0"/>
          <w:w w:val="100"/>
          <w:position w:val="0"/>
          <w:shd w:val="clear" w:color="auto" w:fill="auto"/>
          <w:lang w:val="la-001" w:eastAsia="la-001" w:bidi="la-001"/>
        </w:rPr>
        <w:t>Monumenta Syriaca,</w:t>
      </w:r>
      <w:r>
        <w:rPr>
          <w:spacing w:val="0"/>
          <w:w w:val="100"/>
          <w:position w:val="0"/>
          <w:shd w:val="clear" w:color="auto" w:fill="auto"/>
          <w:lang w:val="la-001" w:eastAsia="la-001" w:bidi="la-001"/>
        </w:rPr>
        <w:t xml:space="preserve"> i. </w:t>
      </w:r>
      <w:r>
        <w:rPr>
          <w:spacing w:val="0"/>
          <w:w w:val="100"/>
          <w:position w:val="0"/>
          <w:shd w:val="clear" w:color="auto" w:fill="auto"/>
          <w:lang w:val="en-US" w:eastAsia="en-US" w:bidi="en-US"/>
        </w:rPr>
        <w:t xml:space="preserve">13-20 ; see also some extracts in Zingerle’s </w:t>
      </w:r>
      <w:r>
        <w:rPr>
          <w:i/>
          <w:iCs/>
          <w:spacing w:val="0"/>
          <w:w w:val="100"/>
          <w:position w:val="0"/>
          <w:shd w:val="clear" w:color="auto" w:fill="auto"/>
          <w:lang w:val="en-US" w:eastAsia="en-US" w:bidi="en-US"/>
        </w:rPr>
        <w:t>Chrestom.</w:t>
      </w:r>
    </w:p>
    <w:p>
      <w:pPr>
        <w:pStyle w:val="Style6"/>
        <w:keepNext w:val="0"/>
        <w:keepLines w:val="0"/>
        <w:widowControl w:val="0"/>
        <w:shd w:val="clear" w:color="auto" w:fill="auto"/>
        <w:bidi w:val="0"/>
        <w:spacing w:line="194" w:lineRule="auto"/>
        <w:ind w:left="0" w:firstLine="0"/>
        <w:jc w:val="left"/>
      </w:pPr>
      <w:r>
        <w:rPr>
          <w:i/>
          <w:iCs/>
          <w:spacing w:val="0"/>
          <w:w w:val="100"/>
          <w:position w:val="0"/>
          <w:shd w:val="clear" w:color="auto" w:fill="auto"/>
          <w:lang w:val="en-US" w:eastAsia="en-US" w:bidi="en-US"/>
        </w:rPr>
        <w:t>Syr.,</w:t>
      </w:r>
      <w:r>
        <w:rPr>
          <w:spacing w:val="0"/>
          <w:w w:val="100"/>
          <w:position w:val="0"/>
          <w:shd w:val="clear" w:color="auto" w:fill="auto"/>
          <w:lang w:val="en-US" w:eastAsia="en-US" w:bidi="en-US"/>
        </w:rPr>
        <w:t xml:space="preserve"> pp. 299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387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Zingerle has translated large portions of the homilies on the Crucifixion into German in the </w:t>
      </w:r>
      <w:r>
        <w:rPr>
          <w:i/>
          <w:iCs/>
          <w:spacing w:val="0"/>
          <w:w w:val="100"/>
          <w:position w:val="0"/>
          <w:shd w:val="clear" w:color="auto" w:fill="auto"/>
          <w:lang w:val="de-DE" w:eastAsia="de-DE" w:bidi="de-DE"/>
        </w:rPr>
        <w:t>Tübinger Theolog. Quartalschrift,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1870, 1. Further, </w:t>
      </w:r>
      <w:r>
        <w:rPr>
          <w:spacing w:val="0"/>
          <w:w w:val="100"/>
          <w:position w:val="0"/>
          <w:shd w:val="clear" w:color="auto" w:fill="auto"/>
          <w:lang w:val="fr-FR" w:eastAsia="fr-FR" w:bidi="fr-FR"/>
        </w:rPr>
        <w:t>Card</w:t>
      </w:r>
      <w:r>
        <w:rPr>
          <w:spacing w:val="0"/>
          <w:w w:val="100"/>
          <w:position w:val="0"/>
          <w:shd w:val="clear" w:color="auto" w:fill="auto"/>
          <w:lang w:val="en-US" w:eastAsia="en-US" w:bidi="en-US"/>
        </w:rPr>
        <w:t>āḥī</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Liber Thes.,</w:t>
      </w:r>
      <w:r>
        <w:rPr>
          <w:spacing w:val="0"/>
          <w:w w:val="100"/>
          <w:position w:val="0"/>
          <w:shd w:val="clear" w:color="auto" w:fill="auto"/>
          <w:lang w:val="en-US" w:eastAsia="en-US" w:bidi="en-US"/>
        </w:rPr>
        <w:t xml:space="preserve"> pp. 21-25.</w:t>
      </w:r>
    </w:p>
    <w:p>
      <w:pPr>
        <w:widowControl w:val="0"/>
        <w:spacing w:line="1" w:lineRule="exact"/>
      </w:pPr>
    </w:p>
    <w:sectPr>
      <w:footnotePr>
        <w:pos w:val="pageBottom"/>
        <w:numFmt w:val="decimal"/>
        <w:numRestart w:val="continuous"/>
      </w:footnotePr>
      <w:type w:val="continuous"/>
      <w:pgSz w:w="12240" w:h="16840"/>
      <w:pgMar w:top="1243" w:left="1562" w:right="1319"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