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life to the advocacy of Monophysite doctrine. Twice he visited Constantinople in the service of his party, and suffered much (as was to he expected) at the hands of its enemies, for thus he writes in later years to the monks of the convent of Sĕnūn near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 “What I endured from Flavian and </w:t>
      </w:r>
      <w:r>
        <w:rPr>
          <w:spacing w:val="0"/>
          <w:w w:val="100"/>
          <w:position w:val="0"/>
          <w:shd w:val="clear" w:color="auto" w:fill="auto"/>
          <w:lang w:val="la-001" w:eastAsia="la-001" w:bidi="la-001"/>
        </w:rPr>
        <w:t xml:space="preserve">Macedonius, </w:t>
      </w:r>
      <w:r>
        <w:rPr>
          <w:spacing w:val="0"/>
          <w:w w:val="100"/>
          <w:position w:val="0"/>
          <w:shd w:val="clear" w:color="auto" w:fill="auto"/>
          <w:lang w:val="en-US" w:eastAsia="en-US" w:bidi="en-US"/>
        </w:rPr>
        <w:t>who were arch</w:t>
        <w:softHyphen/>
        <w:t xml:space="preserve">bishops of Antioch and of the capital, and previously from Cal- endion, is known and spoken of everywhere. I keep silence both as to what was plotted against me in the time of the Persian war among the nobles by the care of the aforesaid Flavian the heretic, and also as to what befell me in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and in the district of the Aparneans, and in that of the Antiochians, when I was in the con</w:t>
        <w:softHyphen/>
        <w:t xml:space="preserve">vent of the blessed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r </w:t>
      </w:r>
      <w:r>
        <w:rPr>
          <w:spacing w:val="0"/>
          <w:w w:val="100"/>
          <w:position w:val="0"/>
          <w:shd w:val="clear" w:color="auto" w:fill="auto"/>
          <w:lang w:val="la-001" w:eastAsia="la-001" w:bidi="la-001"/>
        </w:rPr>
        <w:t xml:space="preserve">Bassus, </w:t>
      </w:r>
      <w:r>
        <w:rPr>
          <w:spacing w:val="0"/>
          <w:w w:val="100"/>
          <w:position w:val="0"/>
          <w:shd w:val="clear" w:color="auto" w:fill="auto"/>
          <w:lang w:val="en-US" w:eastAsia="en-US" w:bidi="en-US"/>
        </w:rPr>
        <w:t>and again in Antioch itself ; and when I went up on two occasions to the capital, like things were done to me by the Nestorian heretics.”@@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succeeded at last in getting rid of his enemy Flavian in 512, and in the same year he presided at a synod in which his friend </w:t>
      </w:r>
      <w:r>
        <w:rPr>
          <w:spacing w:val="0"/>
          <w:w w:val="100"/>
          <w:position w:val="0"/>
          <w:shd w:val="clear" w:color="auto" w:fill="auto"/>
          <w:lang w:val="la-001" w:eastAsia="la-001" w:bidi="la-001"/>
        </w:rPr>
        <w:t xml:space="preserve">Severas </w:t>
      </w:r>
      <w:r>
        <w:rPr>
          <w:spacing w:val="0"/>
          <w:w w:val="100"/>
          <w:position w:val="0"/>
          <w:shd w:val="clear" w:color="auto" w:fill="auto"/>
          <w:lang w:val="en-US" w:eastAsia="en-US" w:bidi="en-US"/>
        </w:rPr>
        <w:t>was ordained patri</w:t>
        <w:softHyphen/>
        <w:t>arch of Antioch.@@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His triumph, however, was but short-lived, for Justin, the successor of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sentenced to banishment in 519 fifty-four bishops who refused to accept the decrees of the council of </w:t>
      </w:r>
      <w:r>
        <w:rPr>
          <w:spacing w:val="0"/>
          <w:w w:val="100"/>
          <w:position w:val="0"/>
          <w:shd w:val="clear" w:color="auto" w:fill="auto"/>
          <w:lang w:val="la-001" w:eastAsia="la-001" w:bidi="la-001"/>
        </w:rPr>
        <w:t xml:space="preserve">Chalcedon, </w:t>
      </w:r>
      <w:r>
        <w:rPr>
          <w:spacing w:val="0"/>
          <w:w w:val="100"/>
          <w:position w:val="0"/>
          <w:shd w:val="clear" w:color="auto" w:fill="auto"/>
          <w:lang w:val="en-US" w:eastAsia="en-US" w:bidi="en-US"/>
        </w:rPr>
        <w:t xml:space="preserve">among whom were </w:t>
      </w:r>
      <w:r>
        <w:rPr>
          <w:spacing w:val="0"/>
          <w:w w:val="100"/>
          <w:position w:val="0"/>
          <w:shd w:val="clear" w:color="auto" w:fill="auto"/>
          <w:lang w:val="la-001" w:eastAsia="la-001" w:bidi="la-001"/>
        </w:rPr>
        <w:t xml:space="preserve">Severus, Philoxenus, </w:t>
      </w:r>
      <w:r>
        <w:rPr>
          <w:spacing w:val="0"/>
          <w:w w:val="100"/>
          <w:position w:val="0"/>
          <w:shd w:val="clear" w:color="auto" w:fill="auto"/>
          <w:lang w:val="en-US" w:eastAsia="en-US" w:bidi="en-US"/>
        </w:rPr>
        <w:t xml:space="preserve">Peter of </w:t>
      </w:r>
      <w:r>
        <w:rPr>
          <w:spacing w:val="0"/>
          <w:w w:val="100"/>
          <w:position w:val="0"/>
          <w:shd w:val="clear" w:color="auto" w:fill="auto"/>
          <w:lang w:val="la-001" w:eastAsia="la-001" w:bidi="la-001"/>
        </w:rPr>
        <w:t xml:space="preserve">Apamea, </w:t>
      </w:r>
      <w:r>
        <w:rPr>
          <w:spacing w:val="0"/>
          <w:w w:val="100"/>
          <w:position w:val="0"/>
          <w:shd w:val="clear" w:color="auto" w:fill="auto"/>
          <w:lang w:val="en-US" w:eastAsia="en-US" w:bidi="en-US"/>
        </w:rPr>
        <w:t xml:space="preserve">John of Teliā, Julian of Halicarnassus, and </w:t>
      </w:r>
      <w:r>
        <w:rPr>
          <w:spacing w:val="0"/>
          <w:w w:val="100"/>
          <w:position w:val="0"/>
          <w:shd w:val="clear" w:color="auto" w:fill="auto"/>
          <w:lang w:val="fr-FR" w:eastAsia="fr-FR" w:bidi="fr-FR"/>
        </w:rPr>
        <w:t>M</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Amid.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was exiled to </w:t>
      </w:r>
      <w:r>
        <w:rPr>
          <w:spacing w:val="0"/>
          <w:w w:val="100"/>
          <w:position w:val="0"/>
          <w:shd w:val="clear" w:color="auto" w:fill="auto"/>
          <w:lang w:val="la-001" w:eastAsia="la-001" w:bidi="la-001"/>
        </w:rPr>
        <w:t xml:space="preserve">Philippopolis </w:t>
      </w:r>
      <w:r>
        <w:rPr>
          <w:spacing w:val="0"/>
          <w:w w:val="100"/>
          <w:position w:val="0"/>
          <w:shd w:val="clear" w:color="auto" w:fill="auto"/>
          <w:lang w:val="en-US" w:eastAsia="en-US" w:bidi="en-US"/>
        </w:rPr>
        <w:t>in Thrace,@@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afterwards to Gangra in </w:t>
      </w:r>
      <w:r>
        <w:rPr>
          <w:spacing w:val="0"/>
          <w:w w:val="100"/>
          <w:position w:val="0"/>
          <w:shd w:val="clear" w:color="auto" w:fill="auto"/>
          <w:lang w:val="la-001" w:eastAsia="la-001" w:bidi="la-001"/>
        </w:rPr>
        <w:t xml:space="preserve">Paphlagonia, </w:t>
      </w:r>
      <w:r>
        <w:rPr>
          <w:spacing w:val="0"/>
          <w:w w:val="100"/>
          <w:position w:val="0"/>
          <w:shd w:val="clear" w:color="auto" w:fill="auto"/>
          <w:lang w:val="en-US" w:eastAsia="en-US" w:bidi="en-US"/>
        </w:rPr>
        <w:t xml:space="preserve">where he was murdered about the year 523. The Jacobite Church commemorates him on 10th December, 18th February, and 1st April.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however, was something more than a man of action and of strife : he was a scholar and an elegant writer. Even Assemani, who never misses an opportunity of reviling him,@@</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is obliged to own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20) </w:t>
      </w:r>
      <w:r>
        <w:rPr>
          <w:spacing w:val="0"/>
          <w:w w:val="100"/>
          <w:position w:val="0"/>
          <w:shd w:val="clear" w:color="auto" w:fill="auto"/>
          <w:lang w:val="la-001" w:eastAsia="la-001" w:bidi="la-001"/>
        </w:rPr>
        <w:t xml:space="preserve">“scripsit Syriace, </w:t>
      </w:r>
      <w:r>
        <w:rPr>
          <w:spacing w:val="0"/>
          <w:w w:val="100"/>
          <w:position w:val="0"/>
          <w:shd w:val="clear" w:color="auto" w:fill="auto"/>
          <w:lang w:val="en-US" w:eastAsia="en-US" w:bidi="en-US"/>
        </w:rPr>
        <w:t xml:space="preserve">si </w:t>
      </w:r>
      <w:r>
        <w:rPr>
          <w:spacing w:val="0"/>
          <w:w w:val="100"/>
          <w:position w:val="0"/>
          <w:shd w:val="clear" w:color="auto" w:fill="auto"/>
          <w:lang w:val="la-001" w:eastAsia="la-001" w:bidi="la-001"/>
        </w:rPr>
        <w:t xml:space="preserve">quis alius, elegantissime, atque adeo inter optimos hujusce </w:t>
      </w:r>
      <w:r>
        <w:rPr>
          <w:spacing w:val="0"/>
          <w:w w:val="100"/>
          <w:position w:val="0"/>
          <w:shd w:val="clear" w:color="auto" w:fill="auto"/>
          <w:lang w:val="fr-FR" w:eastAsia="fr-FR" w:bidi="fr-FR"/>
        </w:rPr>
        <w:t xml:space="preserve">lingnæ </w:t>
      </w:r>
      <w:r>
        <w:rPr>
          <w:spacing w:val="0"/>
          <w:w w:val="100"/>
          <w:position w:val="0"/>
          <w:shd w:val="clear" w:color="auto" w:fill="auto"/>
          <w:lang w:val="la-001" w:eastAsia="la-001" w:bidi="la-001"/>
        </w:rPr>
        <w:t xml:space="preserve">scriptores </w:t>
      </w:r>
      <w:r>
        <w:rPr>
          <w:spacing w:val="0"/>
          <w:w w:val="100"/>
          <w:position w:val="0"/>
          <w:shd w:val="clear" w:color="auto" w:fill="auto"/>
          <w:lang w:val="en-US" w:eastAsia="en-US" w:bidi="en-US"/>
        </w:rPr>
        <w:t xml:space="preserve">a Jacobo </w:t>
      </w:r>
      <w:r>
        <w:rPr>
          <w:spacing w:val="0"/>
          <w:w w:val="100"/>
          <w:position w:val="0"/>
          <w:shd w:val="clear" w:color="auto" w:fill="auto"/>
          <w:lang w:val="la-001" w:eastAsia="la-001" w:bidi="la-001"/>
        </w:rPr>
        <w:t xml:space="preserve">Edesseno collocari meruit.” </w:t>
      </w:r>
      <w:r>
        <w:rPr>
          <w:spacing w:val="0"/>
          <w:w w:val="100"/>
          <w:position w:val="0"/>
          <w:shd w:val="clear" w:color="auto" w:fill="auto"/>
          <w:lang w:val="en-US" w:eastAsia="en-US" w:bidi="en-US"/>
        </w:rPr>
        <w:t>Unfortunately scarcely any of his numerous works have as yet been printed.@@</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To him the Syriac Church owed its first revised translation of the Scriptures (see above, p. 825) ; and he also drew up an anaphora@@® and an order of baptism.@@</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Portions of his commentaries on the Gospels are contained in two MSS. in the British Museum.@@</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Besides sundry sermons, he composed thirteen homilies on the Christian life and character, of which there are several ancient copies in the British Museum. Of his controversial works the two most important are a treatise </w:t>
      </w:r>
      <w:r>
        <w:rPr>
          <w:i/>
          <w:iCs/>
          <w:spacing w:val="0"/>
          <w:w w:val="100"/>
          <w:position w:val="0"/>
          <w:shd w:val="clear" w:color="auto" w:fill="auto"/>
          <w:lang w:val="en-US" w:eastAsia="en-US" w:bidi="en-US"/>
        </w:rPr>
        <w:t>On the Trinity and the Incarnation</w:t>
      </w:r>
      <w:r>
        <w:rPr>
          <w:spacing w:val="0"/>
          <w:w w:val="100"/>
          <w:position w:val="0"/>
          <w:shd w:val="clear" w:color="auto" w:fill="auto"/>
          <w:lang w:val="en-US" w:eastAsia="en-US" w:bidi="en-US"/>
        </w:rPr>
        <w:t xml:space="preserve"> in three discourses,@@</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and another, in ten discourses, showing “that one (Person) of the Trinity became incarnate and suffered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but there are many smaller tracts against the Nestorians and Dyophysites.@@</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His letters are numerous and may be of some value for the ecclesiastical history of his time. Assemani enumerates and gives extracts from several of them,@@</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but none of them have as yet been printed in full, with the exception of that to Abū Nafīr of Ḥē</w:t>
      </w:r>
      <w:r>
        <w:rPr>
          <w:spacing w:val="0"/>
          <w:w w:val="100"/>
          <w:position w:val="0"/>
          <w:shd w:val="clear" w:color="auto" w:fill="auto"/>
          <w:lang w:val="fr-FR" w:eastAsia="fr-FR" w:bidi="fr-FR"/>
        </w:rPr>
        <w:t>rt</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(al-Hirah),@@</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to the monks of Tell- 'Add</w:t>
      </w:r>
      <w:r>
        <w:rPr>
          <w:color w:val="000000"/>
          <w:spacing w:val="0"/>
          <w:w w:val="100"/>
          <w:position w:val="0"/>
          <w:shd w:val="clear" w:color="auto" w:fill="auto"/>
          <w:lang w:val="en-US" w:eastAsia="en-US" w:bidi="en-US"/>
        </w:rPr>
        <w:t>ā</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and to the priests Abraham and Orestes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regard</w:t>
        <w:softHyphen/>
        <w:t xml:space="preserve">ing Stephen bar </w:t>
      </w:r>
      <w:r>
        <w:rPr>
          <w:spacing w:val="0"/>
          <w:w w:val="100"/>
          <w:position w:val="0"/>
          <w:shd w:val="clear" w:color="auto" w:fill="auto"/>
          <w:lang w:val="fr-FR" w:eastAsia="fr-FR" w:bidi="fr-FR"/>
        </w:rPr>
        <w:t>Südh-ailë.</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Contemporary with Jacob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Mabb</w:t>
      </w:r>
      <w:r>
        <w:rPr>
          <w:color w:val="000000"/>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 xml:space="preserve">was the pantheist Stephen bar </w:t>
      </w:r>
      <w:r>
        <w:rPr>
          <w:spacing w:val="0"/>
          <w:w w:val="100"/>
          <w:position w:val="0"/>
          <w:shd w:val="clear" w:color="auto" w:fill="auto"/>
          <w:lang w:val="fr-FR" w:eastAsia="fr-FR" w:bidi="fr-FR"/>
        </w:rPr>
        <w:t>Südh-ailë,</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16</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with whom both of these writers corresponded,@@</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and regarding whom the latter wrote the above-mentioned letter to the priests Abraham and Orestes. This man was the author of the work entitled </w:t>
      </w:r>
      <w:r>
        <w:rPr>
          <w:i/>
          <w:iCs/>
          <w:spacing w:val="0"/>
          <w:w w:val="100"/>
          <w:position w:val="0"/>
          <w:shd w:val="clear" w:color="auto" w:fill="auto"/>
          <w:lang w:val="en-US" w:eastAsia="en-US" w:bidi="en-US"/>
        </w:rPr>
        <w:t>The Book of Hiero- thcus,</w:t>
      </w:r>
      <w:r>
        <w:rPr>
          <w:spacing w:val="0"/>
          <w:w w:val="100"/>
          <w:position w:val="0"/>
          <w:shd w:val="clear" w:color="auto" w:fill="auto"/>
          <w:lang w:val="en-US" w:eastAsia="en-US" w:bidi="en-US"/>
        </w:rPr>
        <w:t xml:space="preserve"> which he published under the name of Hierotheus, the teacher of St Dionysius of Athens,@@</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and exercised a strong influence on the whole pseudo-Dionysian literature.@@</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Theodosius, patriarch of Antioch (887-896), wrote a commentary on the </w:t>
      </w:r>
      <w:r>
        <w:rPr>
          <w:i/>
          <w:iCs/>
          <w:spacing w:val="0"/>
          <w:w w:val="100"/>
          <w:position w:val="0"/>
          <w:shd w:val="clear" w:color="auto" w:fill="auto"/>
          <w:lang w:val="en-US" w:eastAsia="en-US" w:bidi="en-US"/>
        </w:rPr>
        <w:t>Hierotheus.</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 xml:space="preserve">20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too made copious extracts from it, which he arranged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illustrated with a commentary chiefly derived from that of Theodosius.@@</w:t>
      </w:r>
      <w:r>
        <w:rPr>
          <w:spacing w:val="0"/>
          <w:w w:val="100"/>
          <w:position w:val="0"/>
          <w:shd w:val="clear" w:color="auto" w:fill="auto"/>
          <w:vertAlign w:val="superscript"/>
          <w:lang w:val="en-US" w:eastAsia="en-US" w:bidi="en-US"/>
        </w:rPr>
        <w:t>21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At the same time with Jacob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and in the same neighbourhood, lived one of the earliest and best of the Syrian historians, the Stylite monk </w:t>
      </w:r>
      <w:r>
        <w:rPr>
          <w:spacing w:val="0"/>
          <w:w w:val="100"/>
          <w:position w:val="0"/>
          <w:shd w:val="clear" w:color="auto" w:fill="auto"/>
          <w:lang w:val="fr-FR" w:eastAsia="fr-FR" w:bidi="fr-FR"/>
        </w:rPr>
        <w:t>Y</w:t>
      </w:r>
      <w:r>
        <w:rPr>
          <w:spacing w:val="0"/>
          <w:w w:val="100"/>
          <w:position w:val="0"/>
          <w:shd w:val="clear" w:color="auto" w:fill="auto"/>
          <w:lang w:val="en-US" w:eastAsia="en-US" w:bidi="en-US"/>
        </w:rPr>
        <w:t>ē</w:t>
      </w:r>
      <w:r>
        <w:rPr>
          <w:spacing w:val="0"/>
          <w:w w:val="100"/>
          <w:position w:val="0"/>
          <w:shd w:val="clear" w:color="auto" w:fill="auto"/>
          <w:lang w:val="fr-FR" w:eastAsia="fr-FR" w:bidi="fr-FR"/>
        </w:rPr>
        <w:t>sh</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Joshua. Of him we know nothing but that he originally belonged to the great convent of Zu</w:t>
      </w:r>
      <w:r>
        <w:rPr>
          <w:color w:val="000000"/>
          <w:spacing w:val="0"/>
          <w:w w:val="100"/>
          <w:position w:val="0"/>
          <w:shd w:val="clear" w:color="auto" w:fill="auto"/>
          <w:lang w:val="en-US" w:eastAsia="en-US" w:bidi="en-US"/>
        </w:rPr>
        <w:t>ḳ</w:t>
      </w:r>
      <w:r>
        <w:rPr>
          <w:spacing w:val="0"/>
          <w:w w:val="100"/>
          <w:position w:val="0"/>
          <w:shd w:val="clear" w:color="auto" w:fill="auto"/>
          <w:lang w:val="en-US" w:eastAsia="en-US" w:bidi="en-US"/>
        </w:rPr>
        <w:t>nīn near Ā</w:t>
      </w:r>
      <w:r>
        <w:rPr>
          <w:spacing w:val="0"/>
          <w:w w:val="100"/>
          <w:position w:val="0"/>
          <w:shd w:val="clear" w:color="auto" w:fill="auto"/>
          <w:lang w:val="de-DE" w:eastAsia="de-DE" w:bidi="de-DE"/>
        </w:rPr>
        <w:t xml:space="preserve">mid, </w:t>
      </w:r>
      <w:r>
        <w:rPr>
          <w:spacing w:val="0"/>
          <w:w w:val="100"/>
          <w:position w:val="0"/>
          <w:shd w:val="clear" w:color="auto" w:fill="auto"/>
          <w:lang w:val="en-US" w:eastAsia="en-US" w:bidi="en-US"/>
        </w:rPr>
        <w:t xml:space="preserve">that at the beginning of the 6th century he was residing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that he dedicated his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the Persian War@@</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to an abbot named Sergius. His approving mention of Jacob@@</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and </w:t>
      </w:r>
      <w:r>
        <w:rPr>
          <w:spacing w:val="0"/>
          <w:w w:val="100"/>
          <w:position w:val="0"/>
          <w:shd w:val="clear" w:color="auto" w:fill="auto"/>
          <w:lang w:val="la-001" w:eastAsia="la-001" w:bidi="la-001"/>
        </w:rPr>
        <w:t>Philoxenus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24</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shows that he was a Monophysite. Joshua’s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would have been entirely lost to us, had it not been for the thoughtfulness of a later writer, Dionysius of Tell- </w:t>
      </w:r>
      <w:r>
        <w:rPr>
          <w:spacing w:val="0"/>
          <w:w w:val="100"/>
          <w:position w:val="0"/>
          <w:shd w:val="clear" w:color="auto" w:fill="auto"/>
          <w:lang w:val="fr-FR" w:eastAsia="fr-FR" w:bidi="fr-FR"/>
        </w:rPr>
        <w:t xml:space="preserve">Mahrë </w:t>
      </w:r>
      <w:r>
        <w:rPr>
          <w:spacing w:val="0"/>
          <w:w w:val="100"/>
          <w:position w:val="0"/>
          <w:shd w:val="clear" w:color="auto" w:fill="auto"/>
          <w:lang w:val="en-US" w:eastAsia="en-US" w:bidi="en-US"/>
        </w:rPr>
        <w:t xml:space="preserve">(d. 845), who incorporated it with his account of the reign ot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in the smaller redaction of his own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It was first made known to us by Assemani </w:t>
      </w:r>
      <w:r>
        <w:rPr>
          <w:i/>
          <w:iCs/>
          <w:spacing w:val="0"/>
          <w:w w:val="100"/>
          <w:position w:val="0"/>
          <w:shd w:val="clear" w:color="auto" w:fill="auto"/>
          <w:lang w:val="en-US" w:eastAsia="en-US" w:bidi="en-US"/>
        </w:rPr>
        <w:t>(Bibl. Orient.,</w:t>
      </w:r>
      <w:r>
        <w:rPr>
          <w:spacing w:val="0"/>
          <w:w w:val="100"/>
          <w:position w:val="0"/>
          <w:shd w:val="clear" w:color="auto" w:fill="auto"/>
          <w:lang w:val="en-US" w:eastAsia="en-US" w:bidi="en-US"/>
        </w:rPr>
        <w:t xml:space="preserve"> i. 260-283), who gave a copious analysis with some extracts ; and it is now generally acknowledged to be one of the best, if not actually the best, account of the great war between the Persian and Byzantine empires during the reigns of </w:t>
      </w:r>
      <w:r>
        <w:rPr>
          <w:spacing w:val="0"/>
          <w:w w:val="100"/>
          <w:position w:val="0"/>
          <w:shd w:val="clear" w:color="auto" w:fill="auto"/>
          <w:lang w:val="de-DE" w:eastAsia="de-DE" w:bidi="de-DE"/>
        </w:rPr>
        <w:t>Kaw</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dh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(502-506).@@</w:t>
      </w:r>
      <w:r>
        <w:rPr>
          <w:spacing w:val="0"/>
          <w:w w:val="100"/>
          <w:position w:val="0"/>
          <w:shd w:val="clear" w:color="auto" w:fill="auto"/>
          <w:vertAlign w:val="superscript"/>
          <w:lang w:val="en-US" w:eastAsia="en-US" w:bidi="en-US"/>
        </w:rPr>
        <w:t xml:space="preserve">25 </w:t>
      </w:r>
      <w:r>
        <w:rPr>
          <w:spacing w:val="0"/>
          <w:w w:val="100"/>
          <w:position w:val="0"/>
          <w:shd w:val="clear" w:color="auto" w:fill="auto"/>
          <w:lang w:val="en-US" w:eastAsia="en-US" w:bidi="en-US"/>
        </w:rPr>
        <w:t xml:space="preserve">To the indefatigable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Martin belongs the credit of publishing the </w:t>
      </w:r>
      <w:r>
        <w:rPr>
          <w:i/>
          <w:iCs/>
          <w:spacing w:val="0"/>
          <w:w w:val="100"/>
          <w:position w:val="0"/>
          <w:shd w:val="clear" w:color="auto" w:fill="auto"/>
          <w:lang w:val="la-001" w:eastAsia="la-001" w:bidi="la-001"/>
        </w:rPr>
        <w:t>editio princeps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Syriac text.@@</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The work was written in the year 507, immediately after the conclusion of the war, as is shown by the whole tone of the last chapter ; and it is much to be regretted that the author did not carry out his intention of con</w:t>
        <w:softHyphen/>
        <w:t>tinuing it, or, if he did, that the continuation has perished.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interest which Jacob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r</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took in every branch of literature was the means of bringing into notice a hymn-writer of humble rank, the deacon Simeon Ḳū</w:t>
      </w:r>
      <w:r>
        <w:rPr>
          <w:spacing w:val="0"/>
          <w:w w:val="100"/>
          <w:position w:val="0"/>
          <w:shd w:val="clear" w:color="auto" w:fill="auto"/>
          <w:lang w:val="de-DE" w:eastAsia="de-DE" w:bidi="de-DE"/>
        </w:rPr>
        <w:t>k</w:t>
      </w:r>
      <w:r>
        <w:rPr>
          <w:spacing w:val="0"/>
          <w:w w:val="100"/>
          <w:position w:val="0"/>
          <w:shd w:val="clear" w:color="auto" w:fill="auto"/>
          <w:lang w:val="en-US" w:eastAsia="en-US" w:bidi="en-US"/>
        </w:rPr>
        <w:t>ā</w:t>
      </w:r>
      <w:r>
        <w:rPr>
          <w:spacing w:val="0"/>
          <w:w w:val="100"/>
          <w:position w:val="0"/>
          <w:shd w:val="clear" w:color="auto" w:fill="auto"/>
          <w:lang w:val="de-DE" w:eastAsia="de-DE" w:bidi="de-DE"/>
        </w:rPr>
        <w:t>y</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potter by trade, as his name denotes. This man lived in the village of </w:t>
      </w:r>
      <w:r>
        <w:rPr>
          <w:spacing w:val="0"/>
          <w:w w:val="100"/>
          <w:position w:val="0"/>
          <w:shd w:val="clear" w:color="auto" w:fill="auto"/>
          <w:lang w:val="fr-FR" w:eastAsia="fr-FR" w:bidi="fr-FR"/>
        </w:rPr>
        <w:t>G</w:t>
      </w:r>
      <w:r>
        <w:rPr>
          <w:spacing w:val="0"/>
          <w:w w:val="100"/>
          <w:position w:val="0"/>
          <w:shd w:val="clear" w:color="auto" w:fill="auto"/>
          <w:lang w:val="en-US" w:eastAsia="en-US" w:bidi="en-US"/>
        </w:rPr>
        <w:t>ē</w:t>
      </w:r>
      <w:r>
        <w:rPr>
          <w:spacing w:val="0"/>
          <w:w w:val="100"/>
          <w:position w:val="0"/>
          <w:shd w:val="clear" w:color="auto" w:fill="auto"/>
          <w:lang w:val="fr-FR" w:eastAsia="fr-FR" w:bidi="fr-FR"/>
        </w:rPr>
        <w:t>sh</w:t>
      </w:r>
      <w:r>
        <w:rPr>
          <w:spacing w:val="0"/>
          <w:w w:val="100"/>
          <w:position w:val="0"/>
          <w:shd w:val="clear" w:color="auto" w:fill="auto"/>
          <w:lang w:val="en-US" w:eastAsia="en-US" w:bidi="en-US"/>
        </w:rPr>
        <w:t>ī</w:t>
      </w:r>
      <w:r>
        <w:rPr>
          <w:spacing w:val="0"/>
          <w:w w:val="100"/>
          <w:position w:val="0"/>
          <w:shd w:val="clear" w:color="auto" w:fill="auto"/>
          <w:lang w:val="fr-FR" w:eastAsia="fr-FR" w:bidi="fr-FR"/>
        </w:rPr>
        <w:t>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27</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not far from the convent of Mār </w:t>
      </w:r>
      <w:r>
        <w:rPr>
          <w:spacing w:val="0"/>
          <w:w w:val="100"/>
          <w:position w:val="0"/>
          <w:shd w:val="clear" w:color="auto" w:fill="auto"/>
          <w:lang w:val="la-001" w:eastAsia="la-001" w:bidi="la-001"/>
        </w:rPr>
        <w:t xml:space="preserve">Bassus, </w:t>
      </w:r>
      <w:r>
        <w:rPr>
          <w:spacing w:val="0"/>
          <w:w w:val="100"/>
          <w:position w:val="0"/>
          <w:shd w:val="clear" w:color="auto" w:fill="auto"/>
          <w:lang w:val="en-US" w:eastAsia="en-US" w:bidi="en-US"/>
        </w:rPr>
        <w:t>and while he worked at his wheel composed hymns, which he wrote down on a tablet or a scroll, as might be convenient. Jacob heard of him from the monks, paid him a visit, admired his hymns, and took away some of them with him, at the same time urging the author to continue his labours.@@</w:t>
      </w:r>
      <w:r>
        <w:rPr>
          <w:spacing w:val="0"/>
          <w:w w:val="100"/>
          <w:position w:val="0"/>
          <w:shd w:val="clear" w:color="auto" w:fill="auto"/>
          <w:vertAlign w:val="superscript"/>
          <w:lang w:val="en-US" w:eastAsia="en-US" w:bidi="en-US"/>
        </w:rPr>
        <w:t xml:space="preserve">28 </w:t>
      </w:r>
      <w:r>
        <w:rPr>
          <w:spacing w:val="0"/>
          <w:w w:val="100"/>
          <w:position w:val="0"/>
          <w:shd w:val="clear" w:color="auto" w:fill="auto"/>
          <w:lang w:val="en-US" w:eastAsia="en-US" w:bidi="en-US"/>
        </w:rPr>
        <w:t xml:space="preserve">A specimen of these </w:t>
      </w:r>
      <w:r>
        <w:rPr>
          <w:i/>
          <w:iCs/>
          <w:spacing w:val="0"/>
          <w:w w:val="100"/>
          <w:position w:val="0"/>
          <w:shd w:val="clear" w:color="auto" w:fill="auto"/>
          <w:lang w:val="en-US" w:eastAsia="en-US" w:bidi="en-US"/>
        </w:rPr>
        <w:t>Ḳū</w:t>
      </w:r>
      <w:r>
        <w:rPr>
          <w:i/>
          <w:iCs/>
          <w:spacing w:val="0"/>
          <w:w w:val="100"/>
          <w:position w:val="0"/>
          <w:shd w:val="clear" w:color="auto" w:fill="auto"/>
          <w:lang w:val="fr-FR" w:eastAsia="fr-FR" w:bidi="fr-FR"/>
        </w:rPr>
        <w:t>k</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has been preserved in the shape of nine hymns on the nativity of our Lord,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14520, a MS. of the 8th or 9th century.@@</w:t>
      </w:r>
      <w:r>
        <w:rPr>
          <w:spacing w:val="0"/>
          <w:w w:val="100"/>
          <w:position w:val="0"/>
          <w:shd w:val="clear" w:color="auto" w:fill="auto"/>
          <w:vertAlign w:val="superscript"/>
          <w:lang w:val="en-US" w:eastAsia="en-US" w:bidi="en-US"/>
        </w:rPr>
        <w:t>29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About the same time flourished Simeon, bishop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Arsh</w:t>
      </w:r>
      <w:r>
        <w:rPr>
          <w:spacing w:val="0"/>
          <w:w w:val="100"/>
          <w:position w:val="0"/>
          <w:shd w:val="clear" w:color="auto" w:fill="auto"/>
          <w:lang w:val="en-US" w:eastAsia="en-US" w:bidi="en-US"/>
        </w:rPr>
        <w:t>ā</w:t>
      </w:r>
      <w:r>
        <w:rPr>
          <w:spacing w:val="0"/>
          <w:w w:val="100"/>
          <w:position w:val="0"/>
          <w:shd w:val="clear" w:color="auto" w:fill="auto"/>
          <w:lang w:val="de-DE" w:eastAsia="de-DE" w:bidi="de-DE"/>
        </w:rPr>
        <w:t>m,</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30 </w:t>
      </w:r>
      <w:r>
        <w:rPr>
          <w:spacing w:val="0"/>
          <w:w w:val="100"/>
          <w:position w:val="0"/>
          <w:shd w:val="clear" w:color="auto" w:fill="auto"/>
          <w:lang w:val="en-US" w:eastAsia="en-US" w:bidi="en-US"/>
        </w:rPr>
        <w:t xml:space="preserve">commonly called </w:t>
      </w:r>
      <w:r>
        <w:rPr>
          <w:i/>
          <w:iCs/>
          <w:spacing w:val="0"/>
          <w:w w:val="100"/>
          <w:position w:val="0"/>
          <w:shd w:val="clear" w:color="auto" w:fill="auto"/>
          <w:lang w:val="fr-FR" w:eastAsia="fr-FR" w:bidi="fr-FR"/>
        </w:rPr>
        <w:t>D</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r</w:t>
      </w:r>
      <w:r>
        <w:rPr>
          <w:i/>
          <w:iCs/>
          <w:spacing w:val="0"/>
          <w:w w:val="100"/>
          <w:position w:val="0"/>
          <w:shd w:val="clear" w:color="auto" w:fill="auto"/>
          <w:lang w:val="en-US" w:eastAsia="en-US" w:bidi="en-US"/>
        </w:rPr>
        <w:t>ō</w:t>
      </w:r>
      <w:r>
        <w:rPr>
          <w:i/>
          <w:iCs/>
          <w:spacing w:val="0"/>
          <w:w w:val="100"/>
          <w:position w:val="0"/>
          <w:shd w:val="clear" w:color="auto" w:fill="auto"/>
          <w:lang w:val="fr-FR" w:eastAsia="fr-FR" w:bidi="fr-FR"/>
        </w:rPr>
        <w:t>sh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w:t>
      </w:r>
      <w:r>
        <w:rPr>
          <w:i/>
          <w:iCs/>
          <w:spacing w:val="0"/>
          <w:w w:val="100"/>
          <w:position w:val="0"/>
          <w:shd w:val="clear" w:color="auto" w:fill="auto"/>
          <w:lang w:val="de-DE" w:eastAsia="de-DE" w:bidi="de-DE"/>
        </w:rPr>
        <w:t>Ph</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rs</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y</w:t>
      </w:r>
      <w:r>
        <w:rPr>
          <w:i/>
          <w:iCs/>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“the Persian Disputant.” This keen Monophysite@@</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was one of the few representatives of his creed in the Persian territory, and exhibited a wonderful activity, mental and bodily, on behalf of his co-religionists, traversing the Babylonian and Persian districts in all directions, and disputing with Manichees, Daisanites, Eutychians, and Nestorians.@@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After one of these disputations, at which the Nestorian </w:t>
      </w:r>
      <w:r>
        <w:rPr>
          <w:spacing w:val="0"/>
          <w:w w:val="100"/>
          <w:position w:val="0"/>
          <w:shd w:val="clear" w:color="auto" w:fill="auto"/>
          <w:lang w:val="la-001" w:eastAsia="la-001" w:bidi="la-001"/>
        </w:rPr>
        <w:t xml:space="preserve">catholicus </w:t>
      </w:r>
      <w:r>
        <w:rPr>
          <w:spacing w:val="0"/>
          <w:w w:val="100"/>
          <w:position w:val="0"/>
          <w:shd w:val="clear" w:color="auto" w:fill="auto"/>
          <w:lang w:val="fr-FR" w:eastAsia="fr-FR" w:bidi="fr-FR"/>
        </w:rPr>
        <w:t>B</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bhai </w:t>
      </w:r>
      <w:r>
        <w:rPr>
          <w:spacing w:val="0"/>
          <w:w w:val="100"/>
          <w:position w:val="0"/>
          <w:shd w:val="clear" w:color="auto" w:fill="auto"/>
          <w:lang w:val="en-US" w:eastAsia="en-US" w:bidi="en-US"/>
        </w:rPr>
        <w:t>(498-503) was present,@@</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Simeon was made bishop, a dignity which he had declined on several previous occasions. He visited ē</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Ḥē</w:t>
      </w:r>
      <w:r>
        <w:rPr>
          <w:spacing w:val="0"/>
          <w:w w:val="100"/>
          <w:position w:val="0"/>
          <w:shd w:val="clear" w:color="auto" w:fill="auto"/>
          <w:lang w:val="fr-FR" w:eastAsia="fr-FR" w:bidi="fr-FR"/>
        </w:rPr>
        <w:t>rt</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(al-Ḥīrah) more than once, and died during his third residence at Constantinople, whither he had come to see the empress Theodora.@@</w:t>
      </w:r>
      <w:r>
        <w:rPr>
          <w:spacing w:val="0"/>
          <w:w w:val="100"/>
          <w:position w:val="0"/>
          <w:shd w:val="clear" w:color="auto" w:fill="auto"/>
          <w:vertAlign w:val="superscript"/>
          <w:lang w:val="en-US" w:eastAsia="en-US" w:bidi="en-US"/>
        </w:rPr>
        <w:t xml:space="preserve">34 </w:t>
      </w:r>
      <w:r>
        <w:rPr>
          <w:spacing w:val="0"/>
          <w:w w:val="100"/>
          <w:position w:val="0"/>
          <w:shd w:val="clear" w:color="auto" w:fill="auto"/>
          <w:lang w:val="en-US" w:eastAsia="en-US" w:bidi="en-US"/>
        </w:rPr>
        <w:t xml:space="preserve">Assemani states, on the authority of Dionysius of </w:t>
      </w:r>
      <w:r>
        <w:rPr>
          <w:spacing w:val="0"/>
          <w:w w:val="100"/>
          <w:position w:val="0"/>
          <w:shd w:val="clear" w:color="auto" w:fill="auto"/>
          <w:lang w:val="de-DE" w:eastAsia="de-DE" w:bidi="de-DE"/>
        </w:rPr>
        <w:t>Teil-Ma</w:t>
      </w:r>
      <w:r>
        <w:rPr>
          <w:spacing w:val="0"/>
          <w:w w:val="100"/>
          <w:position w:val="0"/>
          <w:shd w:val="clear" w:color="auto" w:fill="auto"/>
          <w:lang w:val="en-US" w:eastAsia="en-US" w:bidi="en-US"/>
        </w:rPr>
        <w:t>ḥ</w:t>
      </w:r>
      <w:r>
        <w:rPr>
          <w:spacing w:val="0"/>
          <w:w w:val="100"/>
          <w:position w:val="0"/>
          <w:shd w:val="clear" w:color="auto" w:fill="auto"/>
          <w:lang w:val="de-DE" w:eastAsia="de-DE" w:bidi="de-DE"/>
        </w:rPr>
        <w:t>r</w:t>
      </w:r>
      <w:r>
        <w:rPr>
          <w:spacing w:val="0"/>
          <w:w w:val="100"/>
          <w:position w:val="0"/>
          <w:shd w:val="clear" w:color="auto" w:fill="auto"/>
          <w:lang w:val="en-US" w:eastAsia="en-US" w:bidi="en-US"/>
        </w:rPr>
        <w:t>ē</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that he was bishop of </w:t>
      </w:r>
      <w:r>
        <w:rPr>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Arsh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 xml:space="preserve">from 510 to 515, but the Syriac passage which he quotes merely gives the </w:t>
      </w:r>
      <w:r>
        <w:rPr>
          <w:i/>
          <w:iCs/>
          <w:spacing w:val="0"/>
          <w:w w:val="100"/>
          <w:position w:val="0"/>
          <w:shd w:val="clear" w:color="auto" w:fill="auto"/>
          <w:lang w:val="en-US" w:eastAsia="en-US" w:bidi="en-US"/>
        </w:rPr>
        <w:t>floruit of 510.</w:t>
      </w:r>
      <w:r>
        <w:rPr>
          <w:spacing w:val="0"/>
          <w:w w:val="100"/>
          <w:position w:val="0"/>
          <w:shd w:val="clear" w:color="auto" w:fill="auto"/>
          <w:lang w:val="en-US" w:eastAsia="en-US" w:bidi="en-US"/>
        </w:rPr>
        <w:t xml:space="preserve"> If, how</w:t>
        <w:softHyphen/>
        <w:t xml:space="preserve">ever, the statements of John of Ephesus, who knew him personally, be correct, he was probably made bishop before 503, the date of </w:t>
      </w:r>
      <w:r>
        <w:rPr>
          <w:spacing w:val="0"/>
          <w:w w:val="100"/>
          <w:position w:val="0"/>
          <w:shd w:val="clear" w:color="auto" w:fill="auto"/>
          <w:lang w:val="de-DE" w:eastAsia="de-DE" w:bidi="de-DE"/>
        </w:rPr>
        <w:t>B</w:t>
      </w:r>
      <w:r>
        <w:rPr>
          <w:color w:val="000000"/>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bhai’s </w:t>
      </w:r>
      <w:r>
        <w:rPr>
          <w:spacing w:val="0"/>
          <w:w w:val="100"/>
          <w:position w:val="0"/>
          <w:shd w:val="clear" w:color="auto" w:fill="auto"/>
          <w:lang w:val="en-US" w:eastAsia="en-US" w:bidi="en-US"/>
        </w:rPr>
        <w:t>decease.@@</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His death must have taken place before 548, in which year Theodora departed this life. Besides an anaphora,@@</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we possess only two letters of Simeon, which are both of consider</w:t>
        <w:softHyphen/>
        <w:t xml:space="preserve">able interest. The one is entitled </w:t>
      </w:r>
      <w:r>
        <w:rPr>
          <w:i/>
          <w:iCs/>
          <w:spacing w:val="0"/>
          <w:w w:val="100"/>
          <w:position w:val="0"/>
          <w:shd w:val="clear" w:color="auto" w:fill="auto"/>
          <w:lang w:val="en-US" w:eastAsia="en-US" w:bidi="en-US"/>
        </w:rPr>
        <w:t xml:space="preserve">On </w:t>
      </w:r>
      <w:r>
        <w:rPr>
          <w:i/>
          <w:iCs/>
          <w:spacing w:val="0"/>
          <w:w w:val="100"/>
          <w:position w:val="0"/>
          <w:shd w:val="clear" w:color="auto" w:fill="auto"/>
          <w:lang w:val="de-DE" w:eastAsia="de-DE" w:bidi="de-DE"/>
        </w:rPr>
        <w:t>Bar-</w:t>
      </w:r>
      <w:r>
        <w:rPr>
          <w:i/>
          <w:iCs/>
          <w:spacing w:val="0"/>
          <w:w w:val="100"/>
          <w:position w:val="0"/>
          <w:shd w:val="clear" w:color="auto" w:fill="auto"/>
          <w:lang w:val="en-US" w:eastAsia="en-US" w:bidi="en-US"/>
        </w:rPr>
        <w:t>ṣ</w:t>
      </w:r>
      <w:r>
        <w:rPr>
          <w:i/>
          <w:iCs/>
          <w:spacing w:val="0"/>
          <w:w w:val="100"/>
          <w:position w:val="0"/>
          <w:shd w:val="clear" w:color="auto" w:fill="auto"/>
          <w:lang w:val="de-DE" w:eastAsia="de-DE" w:bidi="de-DE"/>
        </w:rPr>
        <w:t>aum</w:t>
      </w:r>
      <w:r>
        <w:rPr>
          <w:i/>
          <w:iCs/>
          <w:color w:val="000000"/>
          <w:spacing w:val="0"/>
          <w:w w:val="100"/>
          <w:position w:val="0"/>
          <w:shd w:val="clear" w:color="auto" w:fill="auto"/>
          <w:lang w:val="en-US" w:eastAsia="en-US" w:bidi="en-US"/>
        </w:rPr>
        <w:t>ā</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and the Sect of the Nestorians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 it deals with the origin and spread of Nestorianism in the East, but from the </w:t>
      </w:r>
      <w:r>
        <w:rPr>
          <w:spacing w:val="0"/>
          <w:w w:val="100"/>
          <w:position w:val="0"/>
          <w:shd w:val="clear" w:color="auto" w:fill="auto"/>
          <w:lang w:val="de-DE" w:eastAsia="de-DE" w:bidi="de-DE"/>
        </w:rPr>
        <w:t>bitterest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and </w:t>
      </w:r>
      <w:r>
        <w:rPr>
          <w:spacing w:val="0"/>
          <w:w w:val="100"/>
          <w:position w:val="0"/>
          <w:shd w:val="clear" w:color="auto" w:fill="auto"/>
          <w:lang w:val="en-US" w:eastAsia="en-US" w:bidi="en-US"/>
        </w:rPr>
        <w:t>narrowest sectarian point of view.@@</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The other, which is much more valuable, is addressed to Simeon, abbot of </w:t>
      </w:r>
      <w:r>
        <w:rPr>
          <w:spacing w:val="0"/>
          <w:w w:val="100"/>
          <w:position w:val="0"/>
          <w:shd w:val="clear" w:color="auto" w:fill="auto"/>
          <w:lang w:val="fr-FR" w:eastAsia="fr-FR" w:bidi="fr-FR"/>
        </w:rPr>
        <w:t>Gabb</w:t>
      </w:r>
      <w:r>
        <w:rPr>
          <w:spacing w:val="0"/>
          <w:w w:val="100"/>
          <w:position w:val="0"/>
          <w:shd w:val="clear" w:color="auto" w:fill="auto"/>
          <w:lang w:val="en-US" w:eastAsia="en-US" w:bidi="en-US"/>
        </w:rPr>
        <w:t>ū</w:t>
      </w:r>
      <w:r>
        <w:rPr>
          <w:spacing w:val="0"/>
          <w:w w:val="100"/>
          <w:position w:val="0"/>
          <w:shd w:val="clear" w:color="auto" w:fill="auto"/>
          <w:lang w:val="fr-FR" w:eastAsia="fr-FR" w:bidi="fr-FR"/>
        </w:rPr>
        <w:t>l</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treats of the persecution of the Christians at </w:t>
      </w:r>
      <w:r>
        <w:rPr>
          <w:spacing w:val="0"/>
          <w:w w:val="100"/>
          <w:position w:val="0"/>
          <w:shd w:val="clear" w:color="auto" w:fill="auto"/>
          <w:lang w:val="fr-FR" w:eastAsia="fr-FR" w:bidi="fr-FR"/>
        </w:rPr>
        <w:t>Najr</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by </w:t>
      </w:r>
      <w:r>
        <w:rPr>
          <w:spacing w:val="0"/>
          <w:w w:val="100"/>
          <w:position w:val="0"/>
          <w:shd w:val="clear" w:color="auto" w:fill="auto"/>
          <w:lang w:val="fr-FR" w:eastAsia="fr-FR" w:bidi="fr-FR"/>
        </w:rPr>
        <w:t>Dh</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 Nuw</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king of al-Yaman, in the year 523.@@</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It is dated 524, in which year the writer was himself at </w:t>
      </w:r>
      <w:r>
        <w:rPr>
          <w:spacing w:val="0"/>
          <w:w w:val="100"/>
          <w:position w:val="0"/>
          <w:shd w:val="clear" w:color="auto" w:fill="auto"/>
          <w:lang w:val="fr-FR" w:eastAsia="fr-FR" w:bidi="fr-FR"/>
        </w:rPr>
        <w:t>H</w:t>
      </w:r>
      <w:r>
        <w:rPr>
          <w:spacing w:val="0"/>
          <w:w w:val="100"/>
          <w:position w:val="0"/>
          <w:shd w:val="clear" w:color="auto" w:fill="auto"/>
          <w:lang w:val="en-US" w:eastAsia="en-US" w:bidi="en-US"/>
        </w:rPr>
        <w:t>ē</w:t>
      </w:r>
      <w:r>
        <w:rPr>
          <w:spacing w:val="0"/>
          <w:w w:val="100"/>
          <w:position w:val="0"/>
          <w:shd w:val="clear" w:color="auto" w:fill="auto"/>
          <w:lang w:val="fr-FR" w:eastAsia="fr-FR" w:bidi="fr-FR"/>
        </w:rPr>
        <w:t>rt</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(al-Ḥīrah).</w:t>
      </w:r>
    </w:p>
    <w:p>
      <w:pPr>
        <w:pStyle w:val="Style7"/>
        <w:keepNext w:val="0"/>
        <w:keepLines w:val="0"/>
        <w:widowControl w:val="0"/>
        <w:shd w:val="clear" w:color="auto" w:fill="auto"/>
        <w:tabs>
          <w:tab w:pos="272" w:val="left"/>
        </w:tabs>
        <w:bidi w:val="0"/>
        <w:spacing w:line="192" w:lineRule="auto"/>
        <w:ind w:left="0" w:firstLine="360"/>
        <w:jc w:val="left"/>
      </w:pPr>
      <w:r>
        <w:rPr>
          <w:spacing w:val="0"/>
          <w:w w:val="100"/>
          <w:position w:val="0"/>
          <w:shd w:val="clear" w:color="auto" w:fill="auto"/>
          <w:lang w:val="en-US" w:eastAsia="en-US" w:bidi="en-US"/>
        </w:rPr>
        <w:t>@@@I</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15; comp, the mention of him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by Joshua the Stylite</w:t>
      </w:r>
    </w:p>
    <w:p>
      <w:pPr>
        <w:pStyle w:val="Style7"/>
        <w:keepNext w:val="0"/>
        <w:keepLines w:val="0"/>
        <w:widowControl w:val="0"/>
        <w:shd w:val="clear" w:color="auto" w:fill="auto"/>
        <w:tabs>
          <w:tab w:pos="2891" w:val="left"/>
        </w:tabs>
        <w:bidi w:val="0"/>
        <w:spacing w:line="192" w:lineRule="auto"/>
        <w:ind w:left="0" w:firstLine="0"/>
        <w:jc w:val="left"/>
      </w:pPr>
      <w:r>
        <w:rPr>
          <w:spacing w:val="0"/>
          <w:w w:val="100"/>
          <w:position w:val="0"/>
          <w:shd w:val="clear" w:color="auto" w:fill="auto"/>
          <w:lang w:val="en-US" w:eastAsia="en-US" w:bidi="en-US"/>
        </w:rPr>
        <w:t xml:space="preserve">in 498,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ed. Wright, chap. xxx.</w:t>
        <w:tab/>
      </w:r>
    </w:p>
    <w:p>
      <w:pPr>
        <w:pStyle w:val="Style7"/>
        <w:keepNext w:val="0"/>
        <w:keepLines w:val="0"/>
        <w:widowControl w:val="0"/>
        <w:shd w:val="clear" w:color="auto" w:fill="auto"/>
        <w:tabs>
          <w:tab w:pos="2891" w:val="left"/>
        </w:tabs>
        <w:bidi w:val="0"/>
        <w:spacing w:line="192"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pp. 17, 18.</w:t>
      </w:r>
    </w:p>
    <w:p>
      <w:pPr>
        <w:pStyle w:val="Style7"/>
        <w:keepNext w:val="0"/>
        <w:keepLines w:val="0"/>
        <w:widowControl w:val="0"/>
        <w:shd w:val="clear" w:color="auto" w:fill="auto"/>
        <w:tabs>
          <w:tab w:pos="264" w:val="left"/>
        </w:tabs>
        <w:bidi w:val="0"/>
        <w:spacing w:line="192" w:lineRule="auto"/>
        <w:ind w:left="0" w:firstLine="360"/>
        <w:jc w:val="left"/>
      </w:pPr>
      <w:r>
        <w:rPr>
          <w:spacing w:val="0"/>
          <w:w w:val="100"/>
          <w:position w:val="0"/>
          <w:shd w:val="clear" w:color="auto" w:fill="auto"/>
          <w:lang w:val="en-US" w:eastAsia="en-US" w:bidi="en-US"/>
        </w:rPr>
        <w:t>@@@3</w:t>
        <w:tab/>
        <w:t xml:space="preserve">He was living there when he wrote to the monks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ĕ</w:t>
      </w:r>
      <w:r>
        <w:rPr>
          <w:spacing w:val="0"/>
          <w:w w:val="100"/>
          <w:position w:val="0"/>
          <w:shd w:val="clear" w:color="auto" w:fill="auto"/>
          <w:lang w:val="fr-FR" w:eastAsia="fr-FR" w:bidi="fr-FR"/>
        </w:rPr>
        <w:t>n</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in 522; </w:t>
      </w:r>
      <w:r>
        <w:rPr>
          <w:i/>
          <w:iCs/>
          <w:spacing w:val="0"/>
          <w:w w:val="100"/>
          <w:position w:val="0"/>
          <w:shd w:val="clear" w:color="auto" w:fill="auto"/>
          <w:lang w:val="en-US" w:eastAsia="en-US" w:bidi="en-US"/>
        </w:rPr>
        <w:t>Β.O.,</w:t>
      </w:r>
      <w:r>
        <w:rPr>
          <w:spacing w:val="0"/>
          <w:w w:val="100"/>
          <w:position w:val="0"/>
          <w:shd w:val="clear" w:color="auto" w:fill="auto"/>
          <w:lang w:val="en-US" w:eastAsia="en-US" w:bidi="en-US"/>
        </w:rPr>
        <w:t xml:space="preserve"> ii. 20.</w:t>
      </w:r>
    </w:p>
    <w:p>
      <w:pPr>
        <w:pStyle w:val="Style7"/>
        <w:keepNext w:val="0"/>
        <w:keepLines w:val="0"/>
        <w:widowControl w:val="0"/>
        <w:shd w:val="clear" w:color="auto" w:fill="auto"/>
        <w:tabs>
          <w:tab w:pos="227"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4</w:t>
        <w:tab/>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Scelestissimus </w:t>
      </w:r>
      <w:r>
        <w:rPr>
          <w:spacing w:val="0"/>
          <w:w w:val="100"/>
          <w:position w:val="0"/>
          <w:shd w:val="clear" w:color="auto" w:fill="auto"/>
          <w:lang w:val="fr-FR" w:eastAsia="fr-FR" w:bidi="fr-FR"/>
        </w:rPr>
        <w:t xml:space="preserve">hæreticus </w:t>
      </w:r>
      <w:r>
        <w:rPr>
          <w:spacing w:val="0"/>
          <w:w w:val="100"/>
          <w:position w:val="0"/>
          <w:shd w:val="clear" w:color="auto" w:fill="auto"/>
          <w:lang w:val="en-US" w:eastAsia="en-US" w:bidi="en-US"/>
        </w:rPr>
        <w:t>” (</w:t>
      </w:r>
      <w:r>
        <w:rPr>
          <w:i/>
          <w:iCs/>
          <w:spacing w:val="0"/>
          <w:w w:val="100"/>
          <w:position w:val="0"/>
          <w:shd w:val="clear" w:color="auto" w:fill="auto"/>
          <w:lang w:val="en-US" w:eastAsia="en-US" w:bidi="en-US"/>
        </w:rPr>
        <w:t>Β.O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11) ; “ </w:t>
      </w:r>
      <w:r>
        <w:rPr>
          <w:spacing w:val="0"/>
          <w:w w:val="100"/>
          <w:position w:val="0"/>
          <w:shd w:val="clear" w:color="auto" w:fill="auto"/>
          <w:lang w:val="la-001" w:eastAsia="la-001" w:bidi="la-001"/>
        </w:rPr>
        <w:t xml:space="preserve">flagitiosissimus </w:t>
      </w:r>
      <w:r>
        <w:rPr>
          <w:spacing w:val="0"/>
          <w:w w:val="100"/>
          <w:position w:val="0"/>
          <w:shd w:val="clear" w:color="auto" w:fill="auto"/>
          <w:lang w:val="en-US" w:eastAsia="en-US" w:bidi="en-US"/>
        </w:rPr>
        <w:t xml:space="preserve">homo </w:t>
      </w:r>
      <w:r>
        <w:rPr>
          <w:spacing w:val="0"/>
          <w:w w:val="100"/>
          <w:position w:val="0"/>
          <w:shd w:val="clear" w:color="auto" w:fill="auto"/>
          <w:lang w:val="la-001" w:eastAsia="la-001" w:bidi="la-001"/>
        </w:rPr>
        <w:t xml:space="preserve">” (p. </w:t>
      </w:r>
      <w:r>
        <w:rPr>
          <w:spacing w:val="0"/>
          <w:w w:val="100"/>
          <w:position w:val="0"/>
          <w:shd w:val="clear" w:color="auto" w:fill="auto"/>
          <w:lang w:val="en-US" w:eastAsia="en-US" w:bidi="en-US"/>
        </w:rPr>
        <w:t xml:space="preserve">12) </w:t>
      </w:r>
      <w:r>
        <w:rPr>
          <w:spacing w:val="0"/>
          <w:w w:val="100"/>
          <w:position w:val="0"/>
          <w:shd w:val="clear" w:color="auto" w:fill="auto"/>
          <w:lang w:val="la-001" w:eastAsia="la-001" w:bidi="la-001"/>
        </w:rPr>
        <w:t xml:space="preserve">; “ ecclesiam Dei tanquam ferus aper devastaverit ” (p. </w:t>
      </w:r>
      <w:r>
        <w:rPr>
          <w:spacing w:val="0"/>
          <w:w w:val="100"/>
          <w:position w:val="0"/>
          <w:shd w:val="clear" w:color="auto" w:fill="auto"/>
          <w:lang w:val="en-US" w:eastAsia="en-US" w:bidi="en-US"/>
        </w:rPr>
        <w:t>18).</w:t>
      </w:r>
    </w:p>
    <w:p>
      <w:pPr>
        <w:pStyle w:val="Style7"/>
        <w:keepNext w:val="0"/>
        <w:keepLines w:val="0"/>
        <w:widowControl w:val="0"/>
        <w:shd w:val="clear" w:color="auto" w:fill="auto"/>
        <w:tabs>
          <w:tab w:pos="275" w:val="left"/>
        </w:tabs>
        <w:bidi w:val="0"/>
        <w:spacing w:line="192" w:lineRule="auto"/>
        <w:ind w:left="0" w:firstLine="360"/>
        <w:jc w:val="left"/>
      </w:pPr>
      <w:r>
        <w:rPr>
          <w:spacing w:val="0"/>
          <w:w w:val="100"/>
          <w:position w:val="0"/>
          <w:shd w:val="clear" w:color="auto" w:fill="auto"/>
          <w:lang w:val="en-US" w:eastAsia="en-US" w:bidi="en-US"/>
        </w:rPr>
        <w:t>@@@5</w:t>
        <w:tab/>
      </w:r>
      <w:r>
        <w:rPr>
          <w:spacing w:val="0"/>
          <w:w w:val="100"/>
          <w:position w:val="0"/>
          <w:shd w:val="clear" w:color="auto" w:fill="auto"/>
          <w:lang w:val="la-001" w:eastAsia="la-001" w:bidi="la-001"/>
        </w:rPr>
        <w:t xml:space="preserve">/i.O., ii. </w:t>
      </w:r>
      <w:r>
        <w:rPr>
          <w:spacing w:val="0"/>
          <w:w w:val="100"/>
          <w:position w:val="0"/>
          <w:shd w:val="clear" w:color="auto" w:fill="auto"/>
          <w:lang w:val="en-US" w:eastAsia="en-US" w:bidi="en-US"/>
        </w:rPr>
        <w:t xml:space="preserve">23 </w:t>
      </w:r>
      <w:r>
        <w:rPr>
          <w:i/>
          <w:iCs/>
          <w:spacing w:val="0"/>
          <w:w w:val="100"/>
          <w:position w:val="0"/>
          <w:shd w:val="clear" w:color="auto" w:fill="auto"/>
          <w:lang w:val="la-001" w:eastAsia="la-001" w:bidi="la-001"/>
        </w:rPr>
        <w:t>sq.</w:t>
      </w:r>
      <w:r>
        <w:rPr>
          <w:spacing w:val="0"/>
          <w:w w:val="100"/>
          <w:position w:val="0"/>
          <w:shd w:val="clear" w:color="auto" w:fill="auto"/>
          <w:lang w:val="la-001" w:eastAsia="la-001" w:bidi="la-001"/>
        </w:rPr>
        <w:t xml:space="preserve"> ; </w:t>
      </w:r>
      <w:r>
        <w:rPr>
          <w:spacing w:val="0"/>
          <w:w w:val="100"/>
          <w:position w:val="0"/>
          <w:shd w:val="clear" w:color="auto" w:fill="auto"/>
          <w:lang w:val="en-US" w:eastAsia="en-US" w:bidi="en-US"/>
        </w:rPr>
        <w:t xml:space="preserve">Wright, </w:t>
      </w:r>
      <w:r>
        <w:rPr>
          <w:i/>
          <w:iCs/>
          <w:spacing w:val="0"/>
          <w:w w:val="100"/>
          <w:position w:val="0"/>
          <w:shd w:val="clear" w:color="auto" w:fill="auto"/>
          <w:lang w:val="la-001" w:eastAsia="la-001" w:bidi="la-001"/>
        </w:rPr>
        <w:t>Catal.,</w:t>
      </w:r>
      <w:r>
        <w:rPr>
          <w:spacing w:val="0"/>
          <w:w w:val="100"/>
          <w:position w:val="0"/>
          <w:shd w:val="clear" w:color="auto" w:fill="auto"/>
          <w:lang w:val="la-001" w:eastAsia="la-001" w:bidi="la-001"/>
        </w:rPr>
        <w:t xml:space="preserve"> Index, p. </w:t>
      </w:r>
      <w:r>
        <w:rPr>
          <w:spacing w:val="0"/>
          <w:w w:val="100"/>
          <w:position w:val="0"/>
          <w:shd w:val="clear" w:color="auto" w:fill="auto"/>
          <w:lang w:val="en-US" w:eastAsia="en-US" w:bidi="en-US"/>
        </w:rPr>
        <w:t>1315.</w:t>
      </w:r>
    </w:p>
    <w:p>
      <w:pPr>
        <w:pStyle w:val="Style7"/>
        <w:keepNext w:val="0"/>
        <w:keepLines w:val="0"/>
        <w:widowControl w:val="0"/>
        <w:shd w:val="clear" w:color="auto" w:fill="auto"/>
        <w:tabs>
          <w:tab w:pos="3324" w:val="left"/>
        </w:tabs>
        <w:bidi w:val="0"/>
        <w:spacing w:line="192" w:lineRule="auto"/>
        <w:ind w:left="0" w:firstLine="360"/>
        <w:jc w:val="left"/>
      </w:pPr>
      <w:r>
        <w:rPr>
          <w:spacing w:val="0"/>
          <w:w w:val="100"/>
          <w:position w:val="0"/>
          <w:shd w:val="clear" w:color="auto" w:fill="auto"/>
          <w:lang w:val="en-US" w:eastAsia="en-US" w:bidi="en-US"/>
        </w:rPr>
        <w:t xml:space="preserve">@@@β </w:t>
      </w:r>
      <w:r>
        <w:rPr>
          <w:spacing w:val="0"/>
          <w:w w:val="100"/>
          <w:position w:val="0"/>
          <w:shd w:val="clear" w:color="auto" w:fill="auto"/>
          <w:lang w:val="la-001" w:eastAsia="la-001" w:bidi="la-001"/>
        </w:rPr>
        <w:t xml:space="preserve">Renaudot, ii. </w:t>
      </w:r>
      <w:r>
        <w:rPr>
          <w:spacing w:val="0"/>
          <w:w w:val="100"/>
          <w:position w:val="0"/>
          <w:shd w:val="clear" w:color="auto" w:fill="auto"/>
          <w:lang w:val="en-US" w:eastAsia="en-US" w:bidi="en-US"/>
        </w:rPr>
        <w:t xml:space="preserve">310 </w:t>
      </w:r>
      <w:r>
        <w:rPr>
          <w:spacing w:val="0"/>
          <w:w w:val="100"/>
          <w:position w:val="0"/>
          <w:shd w:val="clear" w:color="auto" w:fill="auto"/>
          <w:lang w:val="la-001" w:eastAsia="la-001" w:bidi="la-001"/>
        </w:rPr>
        <w:t xml:space="preserve">; </w:t>
      </w:r>
      <w:r>
        <w:rPr>
          <w:i/>
          <w:iCs/>
          <w:spacing w:val="0"/>
          <w:w w:val="100"/>
          <w:position w:val="0"/>
          <w:shd w:val="clear" w:color="auto" w:fill="auto"/>
          <w:lang w:val="el-GR" w:eastAsia="el-GR" w:bidi="el-GR"/>
        </w:rPr>
        <w:t>Β.Ο.,</w:t>
      </w:r>
      <w:r>
        <w:rPr>
          <w:spacing w:val="0"/>
          <w:w w:val="100"/>
          <w:position w:val="0"/>
          <w:shd w:val="clear" w:color="auto" w:fill="auto"/>
          <w:lang w:val="el-GR" w:eastAsia="el-GR" w:bidi="el-GR"/>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24.</w:t>
        <w:tab/>
      </w:r>
    </w:p>
    <w:p>
      <w:pPr>
        <w:pStyle w:val="Style7"/>
        <w:keepNext w:val="0"/>
        <w:keepLines w:val="0"/>
        <w:widowControl w:val="0"/>
        <w:shd w:val="clear" w:color="auto" w:fill="auto"/>
        <w:tabs>
          <w:tab w:pos="3324"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7 </w:t>
      </w:r>
      <w:r>
        <w:rPr>
          <w:i/>
          <w:iCs/>
          <w:spacing w:val="0"/>
          <w:w w:val="100"/>
          <w:position w:val="0"/>
          <w:shd w:val="clear" w:color="auto" w:fill="auto"/>
          <w:lang w:val="el-GR" w:eastAsia="el-GR" w:bidi="el-GR"/>
        </w:rPr>
        <w:t>Β.Ο.,</w:t>
      </w:r>
      <w:r>
        <w:rPr>
          <w:spacing w:val="0"/>
          <w:w w:val="100"/>
          <w:position w:val="0"/>
          <w:shd w:val="clear" w:color="auto" w:fill="auto"/>
          <w:lang w:val="el-GR" w:eastAsia="el-GR" w:bidi="el-GR"/>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24.</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Add. 17126, dated 511, and Add. 14534, probably of equal age.</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@@@s The Vatican MS. (Assemani,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p. 217, No. cxxxvii.) is dated 564 ; see </w:t>
      </w:r>
      <w:r>
        <w:rPr>
          <w:i/>
          <w:iCs/>
          <w:spacing w:val="0"/>
          <w:w w:val="100"/>
          <w:position w:val="0"/>
          <w:shd w:val="clear" w:color="auto" w:fill="auto"/>
          <w:lang w:val="en-US" w:eastAsia="en-US" w:bidi="en-US"/>
        </w:rPr>
        <w:t>Β.O.,</w:t>
      </w:r>
      <w:r>
        <w:rPr>
          <w:spacing w:val="0"/>
          <w:w w:val="100"/>
          <w:position w:val="0"/>
          <w:shd w:val="clear" w:color="auto" w:fill="auto"/>
          <w:lang w:val="en-US" w:eastAsia="en-US" w:bidi="en-US"/>
        </w:rPr>
        <w:t xml:space="preserve"> ii. 25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10</w:t>
      </w:r>
      <w:r>
        <w:rPr>
          <w:i/>
          <w:iCs/>
          <w:spacing w:val="0"/>
          <w:w w:val="100"/>
          <w:position w:val="0"/>
          <w:shd w:val="clear" w:color="auto" w:fill="auto"/>
          <w:lang w:val="en-US" w:eastAsia="en-US" w:bidi="en-US"/>
        </w:rPr>
        <w:t xml:space="preserve"> Β.O.,</w:t>
      </w:r>
      <w:r>
        <w:rPr>
          <w:spacing w:val="0"/>
          <w:w w:val="100"/>
          <w:position w:val="0"/>
          <w:shd w:val="clear" w:color="auto" w:fill="auto"/>
          <w:lang w:val="en-US" w:eastAsia="en-US" w:bidi="en-US"/>
        </w:rPr>
        <w:t xml:space="preserve"> ii. 27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Vatican MS. is dated 581 ; that in the British Museum Add. 12164 is at least as old.</w:t>
      </w:r>
    </w:p>
    <w:p>
      <w:pPr>
        <w:pStyle w:val="Style7"/>
        <w:keepNext w:val="0"/>
        <w:keepLines w:val="0"/>
        <w:widowControl w:val="0"/>
        <w:shd w:val="clear" w:color="auto" w:fill="auto"/>
        <w:tabs>
          <w:tab w:pos="311" w:val="left"/>
        </w:tabs>
        <w:bidi w:val="0"/>
        <w:spacing w:line="192" w:lineRule="auto"/>
        <w:ind w:left="0" w:firstLine="360"/>
        <w:jc w:val="left"/>
      </w:pPr>
      <w:r>
        <w:rPr>
          <w:spacing w:val="0"/>
          <w:w w:val="100"/>
          <w:position w:val="0"/>
          <w:shd w:val="clear" w:color="auto" w:fill="auto"/>
          <w:lang w:val="en-US" w:eastAsia="en-US" w:bidi="en-US"/>
        </w:rPr>
        <w:t>@@@II</w:t>
        <w:tab/>
        <w:t xml:space="preserve">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45, Nos. 15-17, and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1315.</w:t>
      </w:r>
    </w:p>
    <w:p>
      <w:pPr>
        <w:pStyle w:val="Style7"/>
        <w:keepNext w:val="0"/>
        <w:keepLines w:val="0"/>
        <w:widowControl w:val="0"/>
        <w:shd w:val="clear" w:color="auto" w:fill="auto"/>
        <w:tabs>
          <w:tab w:pos="318" w:val="left"/>
        </w:tabs>
        <w:bidi w:val="0"/>
        <w:spacing w:line="192" w:lineRule="auto"/>
        <w:ind w:left="0" w:firstLine="360"/>
        <w:jc w:val="left"/>
      </w:pPr>
      <w:r>
        <w:rPr>
          <w:spacing w:val="0"/>
          <w:w w:val="100"/>
          <w:position w:val="0"/>
          <w:shd w:val="clear" w:color="auto" w:fill="auto"/>
          <w:lang w:val="en-US" w:eastAsia="en-US" w:bidi="en-US"/>
        </w:rPr>
        <w:t>@@@12</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30-46. Others may be found in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1315.</w:t>
      </w:r>
    </w:p>
    <w:p>
      <w:pPr>
        <w:pStyle w:val="Style7"/>
        <w:keepNext w:val="0"/>
        <w:keepLines w:val="0"/>
        <w:widowControl w:val="0"/>
        <w:shd w:val="clear" w:color="auto" w:fill="auto"/>
        <w:tabs>
          <w:tab w:pos="311" w:val="left"/>
        </w:tabs>
        <w:bidi w:val="0"/>
        <w:spacing w:line="31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13</w:t>
        <w:tab/>
        <w:t xml:space="preserve">See Martin, </w:t>
      </w:r>
      <w:r>
        <w:rPr>
          <w:i/>
          <w:iCs/>
          <w:spacing w:val="0"/>
          <w:w w:val="100"/>
          <w:position w:val="0"/>
          <w:shd w:val="clear" w:color="auto" w:fill="auto"/>
          <w:lang w:val="la-001" w:eastAsia="la-001" w:bidi="la-001"/>
        </w:rPr>
        <w:t xml:space="preserve">Grammatica Chrestomathia et Glossarium </w:t>
      </w:r>
      <w:r>
        <w:rPr>
          <w:i/>
          <w:iCs/>
          <w:spacing w:val="0"/>
          <w:w w:val="100"/>
          <w:position w:val="0"/>
          <w:shd w:val="clear" w:color="auto" w:fill="auto"/>
          <w:lang w:val="fr-FR" w:eastAsia="fr-FR" w:bidi="fr-FR"/>
        </w:rPr>
        <w:t>Linguæ Syriacæ,</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71.</w:t>
      </w:r>
    </w:p>
    <w:p>
      <w:pPr>
        <w:pStyle w:val="Style7"/>
        <w:keepNext w:val="0"/>
        <w:keepLines w:val="0"/>
        <w:widowControl w:val="0"/>
        <w:shd w:val="clear" w:color="auto" w:fill="auto"/>
        <w:tabs>
          <w:tab w:pos="288" w:val="left"/>
        </w:tabs>
        <w:bidi w:val="0"/>
        <w:spacing w:line="192" w:lineRule="auto"/>
        <w:ind w:left="0" w:firstLine="360"/>
        <w:jc w:val="left"/>
      </w:pPr>
      <w:r>
        <w:rPr>
          <w:spacing w:val="0"/>
          <w:w w:val="100"/>
          <w:position w:val="0"/>
          <w:shd w:val="clear" w:color="auto" w:fill="auto"/>
          <w:lang w:val="en-US" w:eastAsia="en-US" w:bidi="en-US"/>
        </w:rPr>
        <w:t>@@@14</w:t>
        <w:tab/>
      </w:r>
      <w:r>
        <w:rPr>
          <w:spacing w:val="0"/>
          <w:w w:val="100"/>
          <w:position w:val="0"/>
          <w:shd w:val="clear" w:color="auto" w:fill="auto"/>
          <w:lang w:val="fr-FR" w:eastAsia="fr-FR" w:bidi="fr-FR"/>
        </w:rPr>
        <w:t xml:space="preserve">Ign. Guidi, </w:t>
      </w:r>
      <w:r>
        <w:rPr>
          <w:i/>
          <w:iCs/>
          <w:spacing w:val="0"/>
          <w:w w:val="100"/>
          <w:position w:val="0"/>
          <w:shd w:val="clear" w:color="auto" w:fill="auto"/>
          <w:lang w:val="fr-FR" w:eastAsia="fr-FR" w:bidi="fr-FR"/>
        </w:rPr>
        <w:t>La Lettera di Filosseno ai Monaci di Tell ’Addâ (Teleda),</w:t>
      </w:r>
      <w:r>
        <w:rPr>
          <w:spacing w:val="0"/>
          <w:w w:val="100"/>
          <w:position w:val="0"/>
          <w:shd w:val="clear" w:color="auto" w:fill="auto"/>
          <w:lang w:val="fr-FR" w:eastAsia="fr-FR" w:bidi="fr-FR"/>
        </w:rPr>
        <w:t xml:space="preserve"> Reale Accademia dei </w:t>
      </w:r>
      <w:r>
        <w:rPr>
          <w:spacing w:val="0"/>
          <w:w w:val="100"/>
          <w:position w:val="0"/>
          <w:shd w:val="clear" w:color="auto" w:fill="auto"/>
          <w:lang w:val="en-US" w:eastAsia="en-US" w:bidi="en-US"/>
        </w:rPr>
        <w:t xml:space="preserve">Lincei, anno cclxxxii., 1884-85, </w:t>
      </w:r>
      <w:r>
        <w:rPr>
          <w:spacing w:val="0"/>
          <w:w w:val="100"/>
          <w:position w:val="0"/>
          <w:shd w:val="clear" w:color="auto" w:fill="auto"/>
          <w:lang w:val="fr-FR" w:eastAsia="fr-FR" w:bidi="fr-FR"/>
        </w:rPr>
        <w:t xml:space="preserve">Rome, </w:t>
      </w:r>
      <w:r>
        <w:rPr>
          <w:spacing w:val="0"/>
          <w:w w:val="100"/>
          <w:position w:val="0"/>
          <w:shd w:val="clear" w:color="auto" w:fill="auto"/>
          <w:lang w:val="en-US" w:eastAsia="en-US" w:bidi="en-US"/>
        </w:rPr>
        <w:t xml:space="preserve">1886. In 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literature there is extant a book entitled </w:t>
      </w:r>
      <w:r>
        <w:rPr>
          <w:i/>
          <w:iCs/>
          <w:spacing w:val="0"/>
          <w:w w:val="100"/>
          <w:position w:val="0"/>
          <w:shd w:val="clear" w:color="auto" w:fill="auto"/>
          <w:lang w:val="fr-FR" w:eastAsia="fr-FR" w:bidi="fr-FR"/>
        </w:rPr>
        <w:t>F</w:t>
      </w:r>
      <w:r>
        <w:rPr>
          <w:i/>
          <w:iCs/>
          <w:spacing w:val="0"/>
          <w:w w:val="100"/>
          <w:position w:val="0"/>
          <w:shd w:val="clear" w:color="auto" w:fill="auto"/>
          <w:lang w:val="en-US" w:eastAsia="en-US" w:bidi="en-US"/>
        </w:rPr>
        <w:t>ī</w:t>
      </w:r>
      <w:r>
        <w:rPr>
          <w:i/>
          <w:iCs/>
          <w:spacing w:val="0"/>
          <w:w w:val="100"/>
          <w:position w:val="0"/>
          <w:shd w:val="clear" w:color="auto" w:fill="auto"/>
          <w:lang w:val="fr-FR" w:eastAsia="fr-FR" w:bidi="fr-FR"/>
        </w:rPr>
        <w:t>l</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ks</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ūs</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from the name of its author, “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the Syrian, bishop of Manbag ” (see, for ex</w:t>
        <w:softHyphen/>
        <w:t xml:space="preserve">ample,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177). It is a series of questions and answers on the </w:t>
      </w:r>
      <w:r>
        <w:rPr>
          <w:i/>
          <w:iCs/>
          <w:spacing w:val="0"/>
          <w:w w:val="100"/>
          <w:position w:val="0"/>
          <w:shd w:val="clear" w:color="auto" w:fill="auto"/>
          <w:lang w:val="en-US" w:eastAsia="en-US" w:bidi="en-US"/>
        </w:rPr>
        <w:t>Paradise</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Palladius, </w:t>
      </w:r>
      <w:r>
        <w:rPr>
          <w:spacing w:val="0"/>
          <w:w w:val="100"/>
          <w:position w:val="0"/>
          <w:shd w:val="clear" w:color="auto" w:fill="auto"/>
          <w:lang w:val="en-US" w:eastAsia="en-US" w:bidi="en-US"/>
        </w:rPr>
        <w:t xml:space="preserve">like the Syriac work described in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1078.</w:t>
      </w:r>
    </w:p>
    <w:p>
      <w:pPr>
        <w:pStyle w:val="Style7"/>
        <w:keepNext w:val="0"/>
        <w:keepLines w:val="0"/>
        <w:widowControl w:val="0"/>
        <w:shd w:val="clear" w:color="auto" w:fill="auto"/>
        <w:tabs>
          <w:tab w:pos="315" w:val="left"/>
        </w:tabs>
        <w:bidi w:val="0"/>
        <w:spacing w:line="192" w:lineRule="auto"/>
        <w:ind w:left="0" w:firstLine="360"/>
        <w:jc w:val="left"/>
      </w:pPr>
      <w:r>
        <w:rPr>
          <w:spacing w:val="0"/>
          <w:w w:val="100"/>
          <w:position w:val="0"/>
          <w:shd w:val="clear" w:color="auto" w:fill="auto"/>
          <w:lang w:val="en-US" w:eastAsia="en-US" w:bidi="en-US"/>
        </w:rPr>
        <w:t>@@@15</w:t>
        <w:tab/>
        <w:t xml:space="preserve">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30 ; Frothingham, </w:t>
      </w:r>
      <w:r>
        <w:rPr>
          <w:i/>
          <w:iCs/>
          <w:spacing w:val="0"/>
          <w:w w:val="100"/>
          <w:position w:val="0"/>
          <w:shd w:val="clear" w:color="auto" w:fill="auto"/>
          <w:lang w:val="en-US" w:eastAsia="en-US" w:bidi="en-US"/>
        </w:rPr>
        <w:t>Stephen bar Sudaili,</w:t>
      </w:r>
      <w:r>
        <w:rPr>
          <w:spacing w:val="0"/>
          <w:w w:val="100"/>
          <w:position w:val="0"/>
          <w:shd w:val="clear" w:color="auto" w:fill="auto"/>
          <w:lang w:val="en-US" w:eastAsia="en-US" w:bidi="en-US"/>
        </w:rPr>
        <w:t xml:space="preserve"> p. 28 </w:t>
      </w:r>
      <w:r>
        <w:rPr>
          <w:i/>
          <w:iCs/>
          <w:spacing w:val="0"/>
          <w:w w:val="100"/>
          <w:position w:val="0"/>
          <w:shd w:val="clear" w:color="auto" w:fill="auto"/>
          <w:lang w:val="en-US" w:eastAsia="en-US" w:bidi="en-US"/>
        </w:rPr>
        <w:t>sq.</w:t>
      </w:r>
    </w:p>
    <w:p>
      <w:pPr>
        <w:pStyle w:val="Style7"/>
        <w:keepNext w:val="0"/>
        <w:keepLines w:val="0"/>
        <w:widowControl w:val="0"/>
        <w:shd w:val="clear" w:color="auto" w:fill="auto"/>
        <w:tabs>
          <w:tab w:pos="318" w:val="left"/>
        </w:tabs>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ab/>
        <w:t xml:space="preserve">So in a MS. of the 7th century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17163 ; see Wright, </w:t>
      </w:r>
      <w:r>
        <w:rPr>
          <w:i/>
          <w:iCs/>
          <w:spacing w:val="0"/>
          <w:w w:val="100"/>
          <w:position w:val="0"/>
          <w:shd w:val="clear" w:color="auto" w:fill="auto"/>
          <w:lang w:val="en-US" w:eastAsia="en-US" w:bidi="en-US"/>
        </w:rPr>
        <w:t>Catal.,</w:t>
      </w:r>
    </w:p>
    <w:p>
      <w:pPr>
        <w:pStyle w:val="Style7"/>
        <w:keepNext w:val="0"/>
        <w:keepLines w:val="0"/>
        <w:widowControl w:val="0"/>
        <w:shd w:val="clear" w:color="auto" w:fill="auto"/>
        <w:tabs>
          <w:tab w:pos="4392" w:val="left"/>
        </w:tabs>
        <w:bidi w:val="0"/>
        <w:spacing w:line="192" w:lineRule="auto"/>
        <w:ind w:left="0" w:firstLine="0"/>
        <w:jc w:val="left"/>
      </w:pPr>
      <w:r>
        <w:rPr>
          <w:spacing w:val="0"/>
          <w:w w:val="100"/>
          <w:position w:val="0"/>
          <w:shd w:val="clear" w:color="auto" w:fill="auto"/>
          <w:lang w:val="en-US" w:eastAsia="en-US" w:bidi="en-US"/>
        </w:rPr>
        <w:t xml:space="preserve">p. 524). The MSS. of </w:t>
      </w:r>
      <w:r>
        <w:rPr>
          <w:spacing w:val="0"/>
          <w:w w:val="100"/>
          <w:position w:val="0"/>
          <w:shd w:val="clear" w:color="auto" w:fill="auto"/>
          <w:lang w:val="fr-FR" w:eastAsia="fr-FR" w:bidi="fr-FR"/>
        </w:rPr>
        <w:t>Bar-Hebræus</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221), have or. Assemani writes </w:t>
      </w:r>
      <w:r>
        <w:rPr>
          <w:i/>
          <w:iCs/>
          <w:spacing w:val="0"/>
          <w:w w:val="100"/>
          <w:position w:val="0"/>
          <w:shd w:val="clear" w:color="auto" w:fill="auto"/>
          <w:lang w:val="en-US" w:eastAsia="en-US" w:bidi="en-US"/>
        </w:rPr>
        <w:t>(Sudaili).</w:t>
      </w:r>
      <w:r>
        <w:rPr>
          <w:spacing w:val="0"/>
          <w:w w:val="100"/>
          <w:position w:val="0"/>
          <w:shd w:val="clear" w:color="auto" w:fill="auto"/>
          <w:lang w:val="en-US" w:eastAsia="en-US" w:bidi="en-US"/>
        </w:rPr>
        <w:t xml:space="preserve"> “ Hunt the deer”</w:t>
      </w:r>
    </w:p>
    <w:p>
      <w:pPr>
        <w:pStyle w:val="Style7"/>
        <w:keepNext w:val="0"/>
        <w:keepLines w:val="0"/>
        <w:widowControl w:val="0"/>
        <w:shd w:val="clear" w:color="auto" w:fill="auto"/>
        <w:bidi w:val="0"/>
        <w:spacing w:line="187" w:lineRule="auto"/>
        <w:ind w:left="0" w:firstLine="0"/>
        <w:jc w:val="left"/>
      </w:pPr>
      <w:r>
        <w:rPr>
          <w:spacing w:val="0"/>
          <w:w w:val="100"/>
          <w:position w:val="0"/>
          <w:shd w:val="clear" w:color="auto" w:fill="auto"/>
          <w:lang w:val="en-US" w:eastAsia="en-US" w:bidi="en-US"/>
        </w:rPr>
        <w:t xml:space="preserve">can of course be only a nickname of the father. See Frothingham, </w:t>
      </w:r>
      <w:r>
        <w:rPr>
          <w:i/>
          <w:iCs/>
          <w:spacing w:val="0"/>
          <w:w w:val="100"/>
          <w:position w:val="0"/>
          <w:shd w:val="clear" w:color="auto" w:fill="auto"/>
          <w:lang w:val="en-US" w:eastAsia="en-US" w:bidi="en-US"/>
        </w:rPr>
        <w:t>op. tit.,</w:t>
      </w:r>
      <w:r>
        <w:rPr>
          <w:spacing w:val="0"/>
          <w:w w:val="100"/>
          <w:position w:val="0"/>
          <w:shd w:val="clear" w:color="auto" w:fill="auto"/>
          <w:lang w:val="en-US" w:eastAsia="en-US" w:bidi="en-US"/>
        </w:rPr>
        <w:t xml:space="preserve"> p. 56 </w:t>
      </w:r>
      <w:r>
        <w:rPr>
          <w:i/>
          <w:iCs/>
          <w:spacing w:val="0"/>
          <w:w w:val="100"/>
          <w:position w:val="0"/>
          <w:shd w:val="clear" w:color="auto" w:fill="auto"/>
          <w:lang w:val="en-US" w:eastAsia="en-US" w:bidi="en-US"/>
        </w:rPr>
        <w:t>sq.</w:t>
      </w:r>
    </w:p>
    <w:p>
      <w:pPr>
        <w:pStyle w:val="Style7"/>
        <w:keepNext w:val="0"/>
        <w:keepLines w:val="0"/>
        <w:widowControl w:val="0"/>
        <w:shd w:val="clear" w:color="auto" w:fill="auto"/>
        <w:tabs>
          <w:tab w:pos="311" w:val="left"/>
        </w:tabs>
        <w:bidi w:val="0"/>
        <w:spacing w:line="187" w:lineRule="auto"/>
        <w:ind w:left="0" w:firstLine="360"/>
        <w:jc w:val="left"/>
      </w:pPr>
      <w:r>
        <w:rPr>
          <w:spacing w:val="0"/>
          <w:w w:val="100"/>
          <w:position w:val="0"/>
          <w:shd w:val="clear" w:color="auto" w:fill="auto"/>
          <w:lang w:val="en-US" w:eastAsia="en-US" w:bidi="en-US"/>
        </w:rPr>
        <w:t>@@@17</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303, ii. 32; comp.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221.</w:t>
      </w:r>
    </w:p>
    <w:p>
      <w:pPr>
        <w:pStyle w:val="Style7"/>
        <w:keepNext w:val="0"/>
        <w:keepLines w:val="0"/>
        <w:widowControl w:val="0"/>
        <w:shd w:val="clear" w:color="auto" w:fill="auto"/>
        <w:tabs>
          <w:tab w:pos="277" w:val="left"/>
        </w:tabs>
        <w:bidi w:val="0"/>
        <w:spacing w:line="187" w:lineRule="auto"/>
        <w:ind w:left="0" w:firstLine="360"/>
        <w:jc w:val="left"/>
      </w:pPr>
      <w:r>
        <w:rPr>
          <w:spacing w:val="0"/>
          <w:w w:val="100"/>
          <w:position w:val="0"/>
          <w:shd w:val="clear" w:color="auto" w:fill="auto"/>
          <w:lang w:val="en-US" w:eastAsia="en-US" w:bidi="en-US"/>
        </w:rPr>
        <w:t>@@@18</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120, 290, 302; Frothingham,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63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existence of any good Greek text seems to be very doubtful, see Frothingham, p. 70.</w:t>
      </w:r>
    </w:p>
    <w:p>
      <w:pPr>
        <w:pStyle w:val="Style7"/>
        <w:keepNext w:val="0"/>
        <w:keepLines w:val="0"/>
        <w:widowControl w:val="0"/>
        <w:shd w:val="clear" w:color="auto" w:fill="auto"/>
        <w:tabs>
          <w:tab w:pos="315" w:val="left"/>
        </w:tabs>
        <w:bidi w:val="0"/>
        <w:spacing w:line="18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1</w:t>
      </w:r>
      <w:r>
        <w:rPr>
          <w:rFonts w:ascii="Arial" w:eastAsia="Arial" w:hAnsi="Arial" w:cs="Arial"/>
          <w:spacing w:val="0"/>
          <w:w w:val="100"/>
          <w:position w:val="0"/>
          <w:sz w:val="8"/>
          <w:szCs w:val="8"/>
          <w:shd w:val="clear" w:color="auto" w:fill="auto"/>
          <w:vertAlign w:val="superscript"/>
          <w:lang w:val="en-US" w:eastAsia="en-US" w:bidi="en-US"/>
        </w:rPr>
        <w:t>9</w:t>
      </w:r>
      <w:r>
        <w:rPr>
          <w:rFonts w:ascii="Arial" w:eastAsia="Arial" w:hAnsi="Arial" w:cs="Arial"/>
          <w:spacing w:val="0"/>
          <w:w w:val="100"/>
          <w:position w:val="0"/>
          <w:sz w:val="8"/>
          <w:szCs w:val="8"/>
          <w:shd w:val="clear" w:color="auto" w:fill="auto"/>
          <w:lang w:val="en-US" w:eastAsia="en-US" w:bidi="en-US"/>
        </w:rPr>
        <w:tab/>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13 ; Frothingham,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2 and 81.</w:t>
      </w:r>
    </w:p>
    <w:p>
      <w:pPr>
        <w:pStyle w:val="Style7"/>
        <w:keepNext w:val="0"/>
        <w:keepLines w:val="0"/>
        <w:widowControl w:val="0"/>
        <w:shd w:val="clear" w:color="auto" w:fill="auto"/>
        <w:tabs>
          <w:tab w:pos="266" w:val="left"/>
        </w:tabs>
        <w:bidi w:val="0"/>
        <w:spacing w:line="187"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ab/>
        <w:t xml:space="preserve">See MS.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7189 (apparently the very copy used by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 xml:space="preserve">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74 «5.; Frothingham,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84.</w:t>
      </w:r>
    </w:p>
    <w:p>
      <w:pPr>
        <w:pStyle w:val="Style7"/>
        <w:keepNext w:val="0"/>
        <w:keepLines w:val="0"/>
        <w:widowControl w:val="0"/>
        <w:shd w:val="clear" w:color="auto" w:fill="auto"/>
        <w:tabs>
          <w:tab w:pos="277" w:val="left"/>
        </w:tabs>
        <w:bidi w:val="0"/>
        <w:spacing w:line="187"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ab/>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 1017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893-895) ; Bibl. Nation., </w:t>
      </w:r>
      <w:r>
        <w:rPr>
          <w:spacing w:val="0"/>
          <w:w w:val="100"/>
          <w:position w:val="0"/>
          <w:shd w:val="clear" w:color="auto" w:fill="auto"/>
          <w:lang w:val="fr-FR" w:eastAsia="fr-FR" w:bidi="fr-FR"/>
        </w:rPr>
        <w:t xml:space="preserve">Anc. fonds </w:t>
      </w:r>
      <w:r>
        <w:rPr>
          <w:spacing w:val="0"/>
          <w:w w:val="100"/>
          <w:position w:val="0"/>
          <w:shd w:val="clear" w:color="auto" w:fill="auto"/>
          <w:lang w:val="en-US" w:eastAsia="en-US" w:bidi="en-US"/>
        </w:rPr>
        <w:t xml:space="preserve">138 </w:t>
      </w:r>
      <w:r>
        <w:rPr>
          <w:spacing w:val="0"/>
          <w:w w:val="100"/>
          <w:position w:val="0"/>
          <w:shd w:val="clear" w:color="auto" w:fill="auto"/>
          <w:lang w:val="de-DE" w:eastAsia="de-DE" w:bidi="de-DE"/>
        </w:rPr>
        <w:t xml:space="preserve">(Zotenberg, </w:t>
      </w:r>
      <w:r>
        <w:rPr>
          <w:i/>
          <w:iCs/>
          <w:spacing w:val="0"/>
          <w:w w:val="100"/>
          <w:position w:val="0"/>
          <w:shd w:val="clear" w:color="auto" w:fill="auto"/>
          <w:lang w:val="la-001" w:eastAsia="la-001" w:bidi="la-001"/>
        </w:rPr>
        <w:t>Calat.,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pp. 175-176); Frothingham,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87.</w:t>
      </w:r>
    </w:p>
    <w:p>
      <w:pPr>
        <w:pStyle w:val="Style7"/>
        <w:keepNext w:val="0"/>
        <w:keepLines w:val="0"/>
        <w:widowControl w:val="0"/>
        <w:shd w:val="clear" w:color="auto" w:fill="auto"/>
        <w:tabs>
          <w:tab w:pos="322" w:val="left"/>
          <w:tab w:pos="1744" w:val="left"/>
          <w:tab w:pos="3231" w:val="left"/>
        </w:tabs>
        <w:bidi w:val="0"/>
        <w:spacing w:line="187"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ab/>
        <w:t>Ed. Wright, p. ix.</w:t>
        <w:tab/>
      </w:r>
    </w:p>
    <w:p>
      <w:pPr>
        <w:pStyle w:val="Style7"/>
        <w:keepNext w:val="0"/>
        <w:keepLines w:val="0"/>
        <w:widowControl w:val="0"/>
        <w:shd w:val="clear" w:color="auto" w:fill="auto"/>
        <w:tabs>
          <w:tab w:pos="322" w:val="left"/>
          <w:tab w:pos="1744" w:val="left"/>
          <w:tab w:pos="3231" w:val="left"/>
        </w:tabs>
        <w:bidi w:val="0"/>
        <w:spacing w:line="18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23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chap. liv.</w:t>
        <w:tab/>
      </w:r>
    </w:p>
    <w:p>
      <w:pPr>
        <w:pStyle w:val="Style7"/>
        <w:keepNext w:val="0"/>
        <w:keepLines w:val="0"/>
        <w:widowControl w:val="0"/>
        <w:shd w:val="clear" w:color="auto" w:fill="auto"/>
        <w:tabs>
          <w:tab w:pos="322" w:val="left"/>
          <w:tab w:pos="1744" w:val="left"/>
          <w:tab w:pos="3231" w:val="left"/>
        </w:tabs>
        <w:bidi w:val="0"/>
        <w:spacing w:line="18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chap. xxx.</w:t>
      </w:r>
    </w:p>
    <w:p>
      <w:pPr>
        <w:pStyle w:val="Style7"/>
        <w:keepNext w:val="0"/>
        <w:keepLines w:val="0"/>
        <w:widowControl w:val="0"/>
        <w:shd w:val="clear" w:color="auto" w:fill="auto"/>
        <w:bidi w:val="0"/>
        <w:spacing w:line="187"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See, for example, the use that has been made of it in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Saint-Martin’s notes to Lebeau’s </w:t>
      </w:r>
      <w:r>
        <w:rPr>
          <w:i/>
          <w:iCs/>
          <w:spacing w:val="0"/>
          <w:w w:val="100"/>
          <w:position w:val="0"/>
          <w:shd w:val="clear" w:color="auto" w:fill="auto"/>
          <w:lang w:val="en-US" w:eastAsia="en-US" w:bidi="en-US"/>
        </w:rPr>
        <w:t xml:space="preserve">Hist, </w:t>
      </w:r>
      <w:r>
        <w:rPr>
          <w:i/>
          <w:iCs/>
          <w:spacing w:val="0"/>
          <w:w w:val="100"/>
          <w:position w:val="0"/>
          <w:shd w:val="clear" w:color="auto" w:fill="auto"/>
          <w:lang w:val="fr-FR" w:eastAsia="fr-FR" w:bidi="fr-FR"/>
        </w:rPr>
        <w:t>du Bas-empire,</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vii.</w:t>
      </w:r>
    </w:p>
    <w:p>
      <w:pPr>
        <w:pStyle w:val="Style7"/>
        <w:keepNext w:val="0"/>
        <w:keepLines w:val="0"/>
        <w:widowControl w:val="0"/>
        <w:shd w:val="clear" w:color="auto" w:fill="auto"/>
        <w:tabs>
          <w:tab w:pos="2336" w:val="left"/>
          <w:tab w:pos="3136" w:val="left"/>
        </w:tabs>
        <w:bidi w:val="0"/>
        <w:spacing w:line="269"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26</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Chronique de Josué le </w:t>
      </w:r>
      <w:r>
        <w:rPr>
          <w:i/>
          <w:iCs/>
          <w:spacing w:val="0"/>
          <w:w w:val="100"/>
          <w:position w:val="0"/>
          <w:shd w:val="clear" w:color="auto" w:fill="auto"/>
          <w:lang w:val="en-US" w:eastAsia="en-US" w:bidi="en-US"/>
        </w:rPr>
        <w:t>Stylite,</w:t>
      </w:r>
      <w:r>
        <w:rPr>
          <w:spacing w:val="0"/>
          <w:w w:val="100"/>
          <w:position w:val="0"/>
          <w:shd w:val="clear" w:color="auto" w:fill="auto"/>
          <w:lang w:val="en-US" w:eastAsia="en-US" w:bidi="en-US"/>
        </w:rPr>
        <w:t xml:space="preserve"> 1876, </w:t>
      </w:r>
      <w:r>
        <w:rPr>
          <w:spacing w:val="0"/>
          <w:w w:val="100"/>
          <w:position w:val="0"/>
          <w:shd w:val="clear" w:color="auto" w:fill="auto"/>
          <w:lang w:val="fr-FR" w:eastAsia="fr-FR" w:bidi="fr-FR"/>
        </w:rPr>
        <w:t xml:space="preserve">in vol. vi. </w:t>
      </w:r>
      <w:r>
        <w:rPr>
          <w:spacing w:val="0"/>
          <w:w w:val="100"/>
          <w:position w:val="0"/>
          <w:shd w:val="clear" w:color="auto" w:fill="auto"/>
          <w:lang w:val="en-US" w:eastAsia="en-US" w:bidi="en-US"/>
        </w:rPr>
        <w:t xml:space="preserve">of the </w:t>
      </w:r>
      <w:r>
        <w:rPr>
          <w:i/>
          <w:iCs/>
          <w:spacing w:val="0"/>
          <w:w w:val="100"/>
          <w:position w:val="0"/>
          <w:shd w:val="clear" w:color="auto" w:fill="auto"/>
          <w:lang w:val="de-DE" w:eastAsia="de-DE" w:bidi="de-DE"/>
        </w:rPr>
        <w:t xml:space="preserve">Abhandlungen für </w:t>
      </w:r>
      <w:r>
        <w:rPr>
          <w:i/>
          <w:iCs/>
          <w:spacing w:val="0"/>
          <w:w w:val="100"/>
          <w:position w:val="0"/>
          <w:shd w:val="clear" w:color="auto" w:fill="auto"/>
          <w:lang w:val="la-001" w:eastAsia="la-001" w:bidi="la-001"/>
        </w:rPr>
        <w:t xml:space="preserve">d. </w:t>
      </w:r>
      <w:r>
        <w:rPr>
          <w:i/>
          <w:iCs/>
          <w:spacing w:val="0"/>
          <w:w w:val="100"/>
          <w:position w:val="0"/>
          <w:shd w:val="clear" w:color="auto" w:fill="auto"/>
          <w:lang w:val="de-DE" w:eastAsia="de-DE" w:bidi="de-DE"/>
        </w:rPr>
        <w:t xml:space="preserve">Kunde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Morgenlandes.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Another edition was published by Wright, </w:t>
      </w:r>
      <w:r>
        <w:rPr>
          <w:i/>
          <w:iCs/>
          <w:spacing w:val="0"/>
          <w:w w:val="100"/>
          <w:position w:val="0"/>
          <w:shd w:val="clear" w:color="auto" w:fill="auto"/>
          <w:lang w:val="en-US" w:eastAsia="en-US" w:bidi="en-US"/>
        </w:rPr>
        <w:t>The Chronicle of Joshua the Styl ite,</w:t>
      </w:r>
      <w:r>
        <w:rPr>
          <w:spacing w:val="0"/>
          <w:w w:val="100"/>
          <w:position w:val="0"/>
          <w:shd w:val="clear" w:color="auto" w:fill="auto"/>
          <w:lang w:val="en-US" w:eastAsia="en-US" w:bidi="en-US"/>
        </w:rPr>
        <w:t xml:space="preserve"> 1882.</w:t>
        <w:tab/>
      </w:r>
    </w:p>
    <w:p>
      <w:pPr>
        <w:pStyle w:val="Style7"/>
        <w:keepNext w:val="0"/>
        <w:keepLines w:val="0"/>
        <w:widowControl w:val="0"/>
        <w:shd w:val="clear" w:color="auto" w:fill="auto"/>
        <w:tabs>
          <w:tab w:pos="2496" w:val="left"/>
          <w:tab w:pos="3296" w:val="left"/>
        </w:tabs>
        <w:bidi w:val="0"/>
        <w:spacing w:line="269" w:lineRule="auto"/>
        <w:ind w:left="0" w:firstLine="360"/>
        <w:jc w:val="left"/>
        <w:rPr>
          <w:sz w:val="8"/>
          <w:szCs w:val="8"/>
        </w:rPr>
      </w:pPr>
      <w:r>
        <w:rPr>
          <w:spacing w:val="0"/>
          <w:w w:val="100"/>
          <w:position w:val="0"/>
          <w:sz w:val="13"/>
          <w:szCs w:val="13"/>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27 or</w:t>
      </w:r>
    </w:p>
    <w:p>
      <w:pPr>
        <w:pStyle w:val="Style7"/>
        <w:keepNext w:val="0"/>
        <w:keepLines w:val="0"/>
        <w:widowControl w:val="0"/>
        <w:shd w:val="clear" w:color="auto" w:fill="auto"/>
        <w:tabs>
          <w:tab w:pos="277" w:val="left"/>
        </w:tabs>
        <w:bidi w:val="0"/>
        <w:spacing w:line="194" w:lineRule="auto"/>
        <w:ind w:left="0" w:firstLine="360"/>
        <w:jc w:val="left"/>
      </w:pPr>
      <w:r>
        <w:rPr>
          <w:spacing w:val="0"/>
          <w:w w:val="100"/>
          <w:position w:val="0"/>
          <w:shd w:val="clear" w:color="auto" w:fill="auto"/>
          <w:lang w:val="en-US" w:eastAsia="en-US" w:bidi="en-US"/>
        </w:rPr>
        <w:t>@@@28</w:t>
        <w:tab/>
        <w:t xml:space="preserve">See the narrative by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in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602 ; and comp.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121, ii. 322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191.</w:t>
      </w:r>
    </w:p>
    <w:p>
      <w:pPr>
        <w:pStyle w:val="Style7"/>
        <w:keepNext w:val="0"/>
        <w:keepLines w:val="0"/>
        <w:widowControl w:val="0"/>
        <w:shd w:val="clear" w:color="auto" w:fill="auto"/>
        <w:tabs>
          <w:tab w:pos="322" w:val="left"/>
        </w:tabs>
        <w:bidi w:val="0"/>
        <w:spacing w:line="194" w:lineRule="auto"/>
        <w:ind w:left="0" w:firstLine="360"/>
        <w:jc w:val="left"/>
      </w:pPr>
      <w:r>
        <w:rPr>
          <w:spacing w:val="0"/>
          <w:w w:val="100"/>
          <w:position w:val="0"/>
          <w:shd w:val="clear" w:color="auto" w:fill="auto"/>
          <w:lang w:val="en-US" w:eastAsia="en-US" w:bidi="en-US"/>
        </w:rPr>
        <w:t>@@@29</w:t>
        <w:tab/>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363.</w:t>
      </w:r>
    </w:p>
    <w:p>
      <w:pPr>
        <w:pStyle w:val="Style7"/>
        <w:keepNext w:val="0"/>
        <w:keepLines w:val="0"/>
        <w:widowControl w:val="0"/>
        <w:shd w:val="clear" w:color="auto" w:fill="auto"/>
        <w:tabs>
          <w:tab w:pos="318" w:val="left"/>
        </w:tabs>
        <w:bidi w:val="0"/>
        <w:spacing w:line="194" w:lineRule="auto"/>
        <w:ind w:left="0" w:firstLine="360"/>
        <w:jc w:val="left"/>
      </w:pPr>
      <w:r>
        <w:rPr>
          <w:spacing w:val="0"/>
          <w:w w:val="100"/>
          <w:position w:val="0"/>
          <w:shd w:val="clear" w:color="auto" w:fill="auto"/>
          <w:lang w:val="en-US" w:eastAsia="en-US" w:bidi="en-US"/>
        </w:rPr>
        <w:t>@@@30</w:t>
        <w:tab/>
        <w:t xml:space="preserve">A village near Seleucia and Ctesiphon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85.</w:t>
      </w:r>
    </w:p>
    <w:p>
      <w:pPr>
        <w:pStyle w:val="Style7"/>
        <w:keepNext w:val="0"/>
        <w:keepLines w:val="0"/>
        <w:widowControl w:val="0"/>
        <w:shd w:val="clear" w:color="auto" w:fill="auto"/>
        <w:tabs>
          <w:tab w:pos="277" w:val="left"/>
        </w:tabs>
        <w:bidi w:val="0"/>
        <w:spacing w:line="194" w:lineRule="auto"/>
        <w:ind w:left="0" w:firstLine="360"/>
        <w:jc w:val="left"/>
      </w:pPr>
      <w:r>
        <w:rPr>
          <w:spacing w:val="0"/>
          <w:w w:val="100"/>
          <w:position w:val="0"/>
          <w:shd w:val="clear" w:color="auto" w:fill="auto"/>
          <w:lang w:val="en-US" w:eastAsia="en-US" w:bidi="en-US"/>
        </w:rPr>
        <w:t>@@@31</w:t>
        <w:tab/>
        <w:t xml:space="preserve">Assemani has tried to whitewash him, but with little success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342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If he had had before him the account of Simeon by John of Ephesus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76-88), he would probably have abandoned the attempt in dis</w:t>
        <w:softHyphen/>
        <w:t xml:space="preserve">gust. See Guidi, </w:t>
      </w:r>
      <w:r>
        <w:rPr>
          <w:i/>
          <w:iCs/>
          <w:spacing w:val="0"/>
          <w:w w:val="100"/>
          <w:position w:val="0"/>
          <w:shd w:val="clear" w:color="auto" w:fill="auto"/>
          <w:lang w:val="en-US" w:eastAsia="en-US" w:bidi="en-US"/>
        </w:rPr>
        <w:t xml:space="preserve">La Lettera di </w:t>
      </w:r>
      <w:r>
        <w:rPr>
          <w:i/>
          <w:iCs/>
          <w:spacing w:val="0"/>
          <w:w w:val="100"/>
          <w:position w:val="0"/>
          <w:shd w:val="clear" w:color="auto" w:fill="auto"/>
          <w:lang w:val="de-DE" w:eastAsia="de-DE" w:bidi="de-DE"/>
        </w:rPr>
        <w:t xml:space="preserve">Simeone </w:t>
      </w:r>
      <w:r>
        <w:rPr>
          <w:i/>
          <w:iCs/>
          <w:spacing w:val="0"/>
          <w:w w:val="100"/>
          <w:position w:val="0"/>
          <w:shd w:val="clear" w:color="auto" w:fill="auto"/>
          <w:lang w:val="en-US" w:eastAsia="en-US" w:bidi="en-US"/>
        </w:rPr>
        <w:t xml:space="preserve">Vescovo di </w:t>
      </w:r>
      <w:r>
        <w:rPr>
          <w:i/>
          <w:iCs/>
          <w:spacing w:val="0"/>
          <w:w w:val="100"/>
          <w:position w:val="0"/>
          <w:shd w:val="clear" w:color="auto" w:fill="auto"/>
          <w:lang w:val="fr-FR" w:eastAsia="fr-FR" w:bidi="fr-FR"/>
        </w:rPr>
        <w:t xml:space="preserve">Béth-Arsâm </w:t>
      </w:r>
      <w:r>
        <w:rPr>
          <w:i/>
          <w:iCs/>
          <w:spacing w:val="0"/>
          <w:w w:val="100"/>
          <w:position w:val="0"/>
          <w:shd w:val="clear" w:color="auto" w:fill="auto"/>
          <w:lang w:val="de-DE" w:eastAsia="de-DE" w:bidi="de-DE"/>
        </w:rPr>
        <w:t xml:space="preserve">sopra </w:t>
      </w:r>
      <w:r>
        <w:rPr>
          <w:i/>
          <w:iCs/>
          <w:spacing w:val="0"/>
          <w:w w:val="100"/>
          <w:position w:val="0"/>
          <w:shd w:val="clear" w:color="auto" w:fill="auto"/>
          <w:lang w:val="fr-FR" w:eastAsia="fr-FR" w:bidi="fr-FR"/>
        </w:rPr>
        <w:t xml:space="preserve">i </w:t>
      </w:r>
      <w:r>
        <w:rPr>
          <w:i/>
          <w:iCs/>
          <w:spacing w:val="0"/>
          <w:w w:val="100"/>
          <w:position w:val="0"/>
          <w:shd w:val="clear" w:color="auto" w:fill="auto"/>
          <w:lang w:val="en-US" w:eastAsia="en-US" w:bidi="en-US"/>
        </w:rPr>
        <w:t>Martiri Omeriti,</w:t>
      </w:r>
      <w:r>
        <w:rPr>
          <w:spacing w:val="0"/>
          <w:w w:val="100"/>
          <w:position w:val="0"/>
          <w:shd w:val="clear" w:color="auto" w:fill="auto"/>
          <w:lang w:val="en-US" w:eastAsia="en-US" w:bidi="en-US"/>
        </w:rPr>
        <w:t xml:space="preserve"> 1881, pp. 4-7.</w:t>
      </w:r>
    </w:p>
    <w:p>
      <w:pPr>
        <w:pStyle w:val="Style7"/>
        <w:keepNext w:val="0"/>
        <w:keepLines w:val="0"/>
        <w:widowControl w:val="0"/>
        <w:shd w:val="clear" w:color="auto" w:fill="auto"/>
        <w:tabs>
          <w:tab w:pos="318"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32</w:t>
        <w:tab/>
      </w:r>
      <w:r>
        <w:rPr>
          <w:spacing w:val="0"/>
          <w:w w:val="100"/>
          <w:position w:val="0"/>
          <w:shd w:val="clear" w:color="auto" w:fill="auto"/>
          <w:lang w:val="en-US" w:eastAsia="en-US" w:bidi="en-US"/>
        </w:rPr>
        <w:t xml:space="preserve">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85, i. 189 ; comp.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341, ii. 409, iii. 1, 403.</w:t>
        <w:tab/>
      </w:r>
    </w:p>
    <w:p>
      <w:pPr>
        <w:pStyle w:val="Style7"/>
        <w:keepNext w:val="0"/>
        <w:keepLines w:val="0"/>
        <w:widowControl w:val="0"/>
        <w:shd w:val="clear" w:color="auto" w:fill="auto"/>
        <w:tabs>
          <w:tab w:pos="925" w:val="left"/>
          <w:tab w:pos="3136" w:val="left"/>
        </w:tabs>
        <w:bidi w:val="0"/>
        <w:spacing w:line="194"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33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82, 1. 12.</w:t>
        <w:tab/>
      </w:r>
    </w:p>
    <w:p>
      <w:pPr>
        <w:pStyle w:val="Style7"/>
        <w:keepNext w:val="0"/>
        <w:keepLines w:val="0"/>
        <w:widowControl w:val="0"/>
        <w:shd w:val="clear" w:color="auto" w:fill="auto"/>
        <w:tabs>
          <w:tab w:pos="925" w:val="left"/>
          <w:tab w:pos="3136" w:val="left"/>
        </w:tabs>
        <w:bidi w:val="0"/>
        <w:spacing w:line="194" w:lineRule="auto"/>
        <w:ind w:left="0" w:firstLine="0"/>
        <w:jc w:val="left"/>
      </w:pPr>
      <w:r>
        <w:rPr>
          <w:spacing w:val="0"/>
          <w:w w:val="100"/>
          <w:position w:val="0"/>
          <w:shd w:val="clear" w:color="auto" w:fill="auto"/>
          <w:lang w:val="en-US" w:eastAsia="en-US" w:bidi="en-US"/>
        </w:rPr>
        <w:t xml:space="preserve">@@@34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87, last line.</w:t>
      </w:r>
    </w:p>
    <w:p>
      <w:pPr>
        <w:pStyle w:val="Style7"/>
        <w:keepNext w:val="0"/>
        <w:keepLines w:val="0"/>
        <w:widowControl w:val="0"/>
        <w:shd w:val="clear" w:color="auto" w:fill="auto"/>
        <w:tabs>
          <w:tab w:pos="1899" w:val="left"/>
          <w:tab w:pos="3468" w:val="left"/>
        </w:tabs>
        <w:bidi w:val="0"/>
        <w:spacing w:line="194" w:lineRule="auto"/>
        <w:ind w:left="0" w:firstLine="360"/>
        <w:jc w:val="left"/>
      </w:pPr>
      <w:r>
        <w:rPr>
          <w:spacing w:val="0"/>
          <w:w w:val="100"/>
          <w:position w:val="0"/>
          <w:shd w:val="clear" w:color="auto" w:fill="auto"/>
          <w:lang w:val="en-US" w:eastAsia="en-US" w:bidi="en-US"/>
        </w:rPr>
        <w:t xml:space="preserve">@@@35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427.</w:t>
        <w:tab/>
      </w:r>
    </w:p>
    <w:p>
      <w:pPr>
        <w:pStyle w:val="Style7"/>
        <w:keepNext w:val="0"/>
        <w:keepLines w:val="0"/>
        <w:widowControl w:val="0"/>
        <w:shd w:val="clear" w:color="auto" w:fill="auto"/>
        <w:tabs>
          <w:tab w:pos="1899" w:val="left"/>
          <w:tab w:pos="3468"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36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345.</w:t>
        <w:tab/>
      </w:r>
    </w:p>
    <w:p>
      <w:pPr>
        <w:pStyle w:val="Style7"/>
        <w:keepNext w:val="0"/>
        <w:keepLines w:val="0"/>
        <w:widowControl w:val="0"/>
        <w:shd w:val="clear" w:color="auto" w:fill="auto"/>
        <w:tabs>
          <w:tab w:pos="1899" w:val="left"/>
          <w:tab w:pos="3468"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37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346.</w:t>
      </w:r>
    </w:p>
    <w:p>
      <w:pPr>
        <w:pStyle w:val="Style7"/>
        <w:keepNext w:val="0"/>
        <w:keepLines w:val="0"/>
        <w:widowControl w:val="0"/>
        <w:shd w:val="clear" w:color="auto" w:fill="auto"/>
        <w:tabs>
          <w:tab w:pos="322"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spacing w:val="0"/>
          <w:w w:val="100"/>
          <w:position w:val="0"/>
          <w:shd w:val="clear" w:color="auto" w:fill="auto"/>
          <w:lang w:val="en-US" w:eastAsia="en-US" w:bidi="en-US"/>
        </w:rPr>
        <w:t xml:space="preserve">First printed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346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from the Vatican MS. cxxxv.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214).</w:t>
      </w:r>
    </w:p>
    <w:p>
      <w:pPr>
        <w:pStyle w:val="Style7"/>
        <w:keepNext w:val="0"/>
        <w:keepLines w:val="0"/>
        <w:widowControl w:val="0"/>
        <w:shd w:val="clear" w:color="auto" w:fill="auto"/>
        <w:tabs>
          <w:tab w:pos="277"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39</w:t>
        <w:tab/>
      </w:r>
      <w:r>
        <w:rPr>
          <w:spacing w:val="0"/>
          <w:w w:val="100"/>
          <w:position w:val="0"/>
          <w:shd w:val="clear" w:color="auto" w:fill="auto"/>
          <w:lang w:val="en-US" w:eastAsia="en-US" w:bidi="en-US"/>
        </w:rPr>
        <w:t xml:space="preserve">Al-Jabbιιl. Or is it Jabbul, on the east bank of the Tigris, between an- </w:t>
      </w:r>
      <w:r>
        <w:rPr>
          <w:spacing w:val="0"/>
          <w:w w:val="100"/>
          <w:position w:val="0"/>
          <w:shd w:val="clear" w:color="auto" w:fill="auto"/>
          <w:lang w:val="fr-FR" w:eastAsia="fr-FR" w:bidi="fr-FR"/>
        </w:rPr>
        <w:t>Nu'm</w:t>
      </w:r>
      <w:r>
        <w:rPr>
          <w:spacing w:val="0"/>
          <w:w w:val="100"/>
          <w:position w:val="0"/>
          <w:shd w:val="clear" w:color="auto" w:fill="auto"/>
          <w:lang w:val="en-US" w:eastAsia="en-US" w:bidi="en-US"/>
        </w:rPr>
        <w:t>ā</w:t>
      </w:r>
      <w:r>
        <w:rPr>
          <w:spacing w:val="0"/>
          <w:w w:val="100"/>
          <w:position w:val="0"/>
          <w:shd w:val="clear" w:color="auto" w:fill="auto"/>
          <w:lang w:val="fr-FR" w:eastAsia="fr-FR" w:bidi="fr-FR"/>
        </w:rPr>
        <w:t>n</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yah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W</w:t>
      </w:r>
      <w:r>
        <w:rPr>
          <w:spacing w:val="0"/>
          <w:w w:val="100"/>
          <w:position w:val="0"/>
          <w:shd w:val="clear" w:color="auto" w:fill="auto"/>
          <w:lang w:val="en-US" w:eastAsia="en-US" w:bidi="en-US"/>
        </w:rPr>
        <w:t>ā</w:t>
      </w:r>
      <w:r>
        <w:rPr>
          <w:spacing w:val="0"/>
          <w:w w:val="100"/>
          <w:position w:val="0"/>
          <w:shd w:val="clear" w:color="auto" w:fill="auto"/>
          <w:lang w:val="fr-FR" w:eastAsia="fr-FR" w:bidi="fr-FR"/>
        </w:rPr>
        <w:t>sit?</w:t>
      </w:r>
    </w:p>
    <w:p>
      <w:pPr>
        <w:pStyle w:val="Style7"/>
        <w:keepNext w:val="0"/>
        <w:keepLines w:val="0"/>
        <w:widowControl w:val="0"/>
        <w:shd w:val="clear" w:color="auto" w:fill="auto"/>
        <w:tabs>
          <w:tab w:pos="284" w:val="left"/>
        </w:tabs>
        <w:bidi w:val="0"/>
        <w:spacing w:line="194" w:lineRule="auto"/>
        <w:ind w:left="0" w:firstLine="360"/>
        <w:jc w:val="left"/>
      </w:pPr>
      <w:r>
        <w:rPr>
          <w:spacing w:val="0"/>
          <w:w w:val="100"/>
          <w:position w:val="0"/>
          <w:shd w:val="clear" w:color="auto" w:fill="auto"/>
          <w:lang w:val="en-US" w:eastAsia="en-US" w:bidi="en-US"/>
        </w:rPr>
        <w:t>@@@40</w:t>
        <w:tab/>
        <w:t xml:space="preserve">First printed in 71.0., i. 364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according to the text offered by John </w:t>
      </w:r>
      <w:r>
        <w:rPr>
          <w:rFonts w:ascii="Arial" w:eastAsia="Arial" w:hAnsi="Arial" w:cs="Arial"/>
          <w:spacing w:val="0"/>
          <w:w w:val="100"/>
          <w:position w:val="0"/>
          <w:sz w:val="8"/>
          <w:szCs w:val="8"/>
          <w:shd w:val="clear" w:color="auto" w:fill="auto"/>
          <w:lang w:val="en-US" w:eastAsia="en-US" w:bidi="en-US"/>
        </w:rPr>
        <w:t xml:space="preserve">of </w:t>
      </w:r>
      <w:r>
        <w:rPr>
          <w:spacing w:val="0"/>
          <w:w w:val="100"/>
          <w:position w:val="0"/>
          <w:shd w:val="clear" w:color="auto" w:fill="auto"/>
          <w:lang w:val="en-US" w:eastAsia="en-US" w:bidi="en-US"/>
        </w:rPr>
        <w:t xml:space="preserve">Ephesus in his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There is, however, a longer and better text in a MS.</w:t>
      </w:r>
    </w:p>
    <w:p>
      <w:pPr>
        <w:widowControl w:val="0"/>
        <w:spacing w:line="1" w:lineRule="exact"/>
      </w:pPr>
    </w:p>
    <w:sectPr>
      <w:footnotePr>
        <w:pos w:val="pageBottom"/>
        <w:numFmt w:val="decimal"/>
        <w:numRestart w:val="continuous"/>
      </w:footnotePr>
      <w:type w:val="continuous"/>
      <w:pgSz w:w="12240" w:h="16840"/>
      <w:pgMar w:top="1606" w:left="1404" w:right="1494"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